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A5586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lang w:val="ro-MD" w:eastAsia="ro-MD"/>
        </w:rPr>
      </w:pPr>
      <w:r w:rsidRPr="001040D6">
        <w:rPr>
          <w:rFonts w:ascii="PermianSerifTypeface" w:eastAsia="Times New Roman" w:hAnsi="PermianSerifTypeface" w:cs="Arial"/>
          <w:noProof/>
          <w:lang w:val="ro-MD" w:eastAsia="ro-MD"/>
        </w:rPr>
        <w:drawing>
          <wp:inline distT="0" distB="0" distL="0" distR="0" wp14:anchorId="434A1C56" wp14:editId="3FE333A0">
            <wp:extent cx="571500" cy="685800"/>
            <wp:effectExtent l="0" t="0" r="0" b="0"/>
            <wp:docPr id="4" name="Picture 3" descr="A colorful emblem with a bull head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olorful emblem with a bull head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E40C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sz w:val="24"/>
          <w:szCs w:val="24"/>
          <w:lang w:val="ro-MD" w:eastAsia="ro-MD"/>
        </w:rPr>
      </w:pPr>
      <w:r w:rsidRPr="001040D6">
        <w:rPr>
          <w:rFonts w:ascii="PermianSerifTypeface" w:eastAsia="Times New Roman" w:hAnsi="PermianSerifTypeface" w:cs="Arial"/>
          <w:b/>
          <w:bCs/>
          <w:sz w:val="24"/>
          <w:szCs w:val="24"/>
          <w:lang w:val="ro-MD" w:eastAsia="ro-MD"/>
        </w:rPr>
        <w:t>НАЦИОНАЛЬНЫЙ БАНК МОЛДОВЫ</w:t>
      </w:r>
    </w:p>
    <w:p w14:paraId="1CBC8FA1" w14:textId="77777777" w:rsidR="001040D6" w:rsidRPr="001040D6" w:rsidRDefault="001040D6" w:rsidP="001040D6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MD" w:eastAsia="ro-MD"/>
        </w:rPr>
      </w:pPr>
      <w:r w:rsidRPr="001040D6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08DEE34A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ПОСТАНОВЛЕНИЕ</w:t>
      </w:r>
    </w:p>
    <w:p w14:paraId="69C25284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об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утверждении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Регламента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об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уведомлении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о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видах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деятельности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,</w:t>
      </w:r>
    </w:p>
    <w:p w14:paraId="5EE47A7A" w14:textId="2171E6CC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предусмотренных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 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пп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.</w:t>
      </w:r>
      <w:r w:rsidR="0084799C" w:rsidRPr="00780FF4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a)  и  b)  п.11) 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части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(2)  ст.2 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Закона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  о</w:t>
      </w:r>
    </w:p>
    <w:p w14:paraId="7E3B8311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платежных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услугах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и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электронных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деньгах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№ 114/2012</w:t>
      </w:r>
    </w:p>
    <w:p w14:paraId="4C2020D5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 </w:t>
      </w:r>
    </w:p>
    <w:p w14:paraId="07985663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№ 189  </w:t>
      </w:r>
      <w:proofErr w:type="spellStart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от</w:t>
      </w:r>
      <w:proofErr w:type="spellEnd"/>
      <w:r w:rsidRPr="001040D6">
        <w:rPr>
          <w:rFonts w:ascii="PermianSerifTypeface" w:eastAsia="Times New Roman" w:hAnsi="PermianSerifTypeface" w:cs="Arial"/>
          <w:b/>
          <w:bCs/>
          <w:lang w:val="ro-MD" w:eastAsia="ro-MD"/>
        </w:rPr>
        <w:t>  09.07.2024</w:t>
      </w:r>
    </w:p>
    <w:p w14:paraId="7A36C09E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lang w:val="ro-MD" w:eastAsia="ro-MD"/>
        </w:rPr>
      </w:pPr>
      <w:r w:rsidRPr="001040D6">
        <w:rPr>
          <w:rFonts w:ascii="PermianSerifTypeface" w:eastAsia="Times New Roman" w:hAnsi="PermianSerifTypeface" w:cs="Arial"/>
          <w:lang w:val="ro-MD" w:eastAsia="ro-MD"/>
        </w:rPr>
        <w:t> </w:t>
      </w:r>
      <w:r w:rsidRPr="001040D6">
        <w:rPr>
          <w:rFonts w:ascii="PermianSerifTypeface" w:eastAsia="Times New Roman" w:hAnsi="PermianSerifTypeface" w:cs="Arial"/>
          <w:i/>
          <w:iCs/>
          <w:sz w:val="20"/>
          <w:szCs w:val="20"/>
          <w:lang w:val="ro-MD" w:eastAsia="ro-MD"/>
        </w:rPr>
        <w:t xml:space="preserve">(в </w:t>
      </w:r>
      <w:proofErr w:type="spellStart"/>
      <w:r w:rsidRPr="001040D6">
        <w:rPr>
          <w:rFonts w:ascii="PermianSerifTypeface" w:eastAsia="Times New Roman" w:hAnsi="PermianSerifTypeface" w:cs="Arial"/>
          <w:i/>
          <w:iCs/>
          <w:sz w:val="20"/>
          <w:szCs w:val="20"/>
          <w:lang w:val="ro-MD" w:eastAsia="ro-MD"/>
        </w:rPr>
        <w:t>силу</w:t>
      </w:r>
      <w:proofErr w:type="spellEnd"/>
      <w:r w:rsidRPr="001040D6">
        <w:rPr>
          <w:rFonts w:ascii="PermianSerifTypeface" w:eastAsia="Times New Roman" w:hAnsi="PermianSerifTypeface" w:cs="Arial"/>
          <w:i/>
          <w:iCs/>
          <w:sz w:val="20"/>
          <w:szCs w:val="20"/>
          <w:lang w:val="ro-MD" w:eastAsia="ro-MD"/>
        </w:rPr>
        <w:t xml:space="preserve"> 18.07.2024)</w:t>
      </w:r>
      <w:r w:rsidRPr="001040D6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2188777E" w14:textId="77777777" w:rsidR="001040D6" w:rsidRPr="001040D6" w:rsidRDefault="001040D6" w:rsidP="001040D6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MD" w:eastAsia="ro-MD"/>
        </w:rPr>
      </w:pPr>
      <w:r w:rsidRPr="001040D6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0B5CEDA0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</w:pPr>
      <w:proofErr w:type="spellStart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Мониторул</w:t>
      </w:r>
      <w:proofErr w:type="spellEnd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Офичиал</w:t>
      </w:r>
      <w:proofErr w:type="spellEnd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 xml:space="preserve"> </w:t>
      </w:r>
      <w:proofErr w:type="spellStart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ал</w:t>
      </w:r>
      <w:proofErr w:type="spellEnd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 xml:space="preserve"> Р. </w:t>
      </w:r>
      <w:proofErr w:type="spellStart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Молдова</w:t>
      </w:r>
      <w:proofErr w:type="spellEnd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 xml:space="preserve"> № 308-310 </w:t>
      </w:r>
      <w:proofErr w:type="spellStart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ст</w:t>
      </w:r>
      <w:proofErr w:type="spellEnd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. 575 </w:t>
      </w:r>
      <w:proofErr w:type="spellStart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от</w:t>
      </w:r>
      <w:proofErr w:type="spellEnd"/>
      <w:r w:rsidRPr="001040D6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 18.07.2024</w:t>
      </w:r>
    </w:p>
    <w:p w14:paraId="0714C63B" w14:textId="77777777" w:rsidR="001040D6" w:rsidRPr="001040D6" w:rsidRDefault="001040D6" w:rsidP="001040D6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MD" w:eastAsia="ro-MD"/>
        </w:rPr>
      </w:pPr>
      <w:r w:rsidRPr="001040D6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43057444" w14:textId="77777777" w:rsidR="001040D6" w:rsidRPr="001040D6" w:rsidRDefault="001040D6" w:rsidP="001040D6">
      <w:pPr>
        <w:spacing w:after="0" w:line="240" w:lineRule="auto"/>
        <w:jc w:val="center"/>
        <w:rPr>
          <w:rFonts w:ascii="PermianSerifTypeface" w:eastAsia="Times New Roman" w:hAnsi="PermianSerifTypeface" w:cs="Arial"/>
          <w:lang w:val="ro-MD" w:eastAsia="ro-MD"/>
        </w:rPr>
      </w:pPr>
      <w:r w:rsidRPr="001040D6">
        <w:rPr>
          <w:rFonts w:ascii="PermianSerifTypeface" w:eastAsia="Times New Roman" w:hAnsi="PermianSerifTypeface" w:cs="Arial"/>
          <w:lang w:val="ro-MD" w:eastAsia="ro-MD"/>
        </w:rPr>
        <w:t>* * *</w:t>
      </w:r>
    </w:p>
    <w:p w14:paraId="36F39F66" w14:textId="77777777" w:rsidR="00914722" w:rsidRPr="00780FF4" w:rsidRDefault="00914722" w:rsidP="001040D6">
      <w:pPr>
        <w:rPr>
          <w:rFonts w:ascii="PermianSerifTypeface" w:hAnsi="PermianSerifTypeface" w:cs="Times New Roman"/>
          <w:lang w:val="ro-RO"/>
        </w:rPr>
      </w:pPr>
    </w:p>
    <w:p w14:paraId="4E1F6C97" w14:textId="70A16A7F" w:rsidR="00534AE0" w:rsidRPr="00780FF4" w:rsidRDefault="00836A72" w:rsidP="00707C75">
      <w:pPr>
        <w:ind w:firstLine="426"/>
        <w:jc w:val="right"/>
        <w:rPr>
          <w:rFonts w:ascii="PermianSerifTypeface" w:hAnsi="PermianSerifTypeface" w:cs="Times New Roman"/>
        </w:rPr>
      </w:pPr>
      <w:r w:rsidRPr="00780FF4">
        <w:rPr>
          <w:rFonts w:ascii="PermianSerifTypeface" w:hAnsi="PermianSerifTypeface" w:cs="Times New Roman"/>
          <w:lang w:val="ru-RU"/>
        </w:rPr>
        <w:t xml:space="preserve">Утвержден </w:t>
      </w:r>
    </w:p>
    <w:p w14:paraId="2695A8D6" w14:textId="257F4A9C" w:rsidR="00534AE0" w:rsidRPr="00780FF4" w:rsidRDefault="00836A72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 w:cs="Times New Roman"/>
          <w:lang w:val="ru-RU"/>
        </w:rPr>
      </w:pPr>
      <w:r w:rsidRPr="00780FF4">
        <w:rPr>
          <w:rFonts w:ascii="PermianSerifTypeface" w:hAnsi="PermianSerifTypeface" w:cs="Times New Roman"/>
          <w:lang w:val="ru-RU"/>
        </w:rPr>
        <w:t>Постановлением Исполнительного комитета</w:t>
      </w:r>
    </w:p>
    <w:p w14:paraId="1F5E03A3" w14:textId="23A10978" w:rsidR="00836A72" w:rsidRPr="00780FF4" w:rsidRDefault="00836A72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 w:cs="Times New Roman"/>
          <w:lang w:val="ru-RU"/>
        </w:rPr>
      </w:pPr>
      <w:r w:rsidRPr="00780FF4">
        <w:rPr>
          <w:rFonts w:ascii="PermianSerifTypeface" w:hAnsi="PermianSerifTypeface" w:cs="Times New Roman"/>
          <w:lang w:val="ru-RU"/>
        </w:rPr>
        <w:t>Национального банка Молдовы</w:t>
      </w:r>
    </w:p>
    <w:p w14:paraId="412DE2DC" w14:textId="48606B6B" w:rsidR="00534AE0" w:rsidRPr="00780FF4" w:rsidRDefault="00836A72" w:rsidP="00707C75">
      <w:pPr>
        <w:tabs>
          <w:tab w:val="left" w:pos="360"/>
        </w:tabs>
        <w:spacing w:after="0"/>
        <w:ind w:firstLine="426"/>
        <w:jc w:val="right"/>
        <w:rPr>
          <w:rStyle w:val="Strong"/>
          <w:rFonts w:ascii="PermianSerifTypeface" w:hAnsi="PermianSerifTypeface" w:cs="Times New Roman"/>
          <w:b w:val="0"/>
          <w:bCs w:val="0"/>
          <w:lang w:val="ro-RO"/>
        </w:rPr>
      </w:pPr>
      <w:r w:rsidRPr="00780FF4">
        <w:rPr>
          <w:rFonts w:ascii="PermianSerifTypeface" w:hAnsi="PermianSerifTypeface" w:cs="Times New Roman"/>
          <w:lang w:val="ru-RU"/>
        </w:rPr>
        <w:t>№</w:t>
      </w:r>
      <w:r w:rsidR="00534AE0" w:rsidRPr="00780FF4">
        <w:rPr>
          <w:rFonts w:ascii="PermianSerifTypeface" w:hAnsi="PermianSerifTypeface" w:cs="Times New Roman"/>
          <w:lang w:val="ro-RO"/>
        </w:rPr>
        <w:t xml:space="preserve"> </w:t>
      </w:r>
      <w:r w:rsidR="00AF21BC" w:rsidRPr="00780FF4">
        <w:rPr>
          <w:rFonts w:ascii="PermianSerifTypeface" w:hAnsi="PermianSerifTypeface" w:cs="Times New Roman"/>
          <w:lang w:val="ru-RU"/>
        </w:rPr>
        <w:t xml:space="preserve">189 </w:t>
      </w:r>
      <w:r w:rsidRPr="00780FF4">
        <w:rPr>
          <w:rFonts w:ascii="PermianSerifTypeface" w:hAnsi="PermianSerifTypeface" w:cs="Times New Roman"/>
          <w:lang w:val="ru-RU"/>
        </w:rPr>
        <w:t>от</w:t>
      </w:r>
      <w:r w:rsidR="00534AE0" w:rsidRPr="00780FF4">
        <w:rPr>
          <w:rFonts w:ascii="PermianSerifTypeface" w:hAnsi="PermianSerifTypeface" w:cs="Times New Roman"/>
          <w:lang w:val="ro-RO"/>
        </w:rPr>
        <w:t xml:space="preserve"> </w:t>
      </w:r>
      <w:r w:rsidR="00AF21BC" w:rsidRPr="00780FF4">
        <w:rPr>
          <w:rFonts w:ascii="PermianSerifTypeface" w:hAnsi="PermianSerifTypeface" w:cs="Times New Roman"/>
          <w:lang w:val="ru-RU"/>
        </w:rPr>
        <w:t>9</w:t>
      </w:r>
      <w:r w:rsidR="00534AE0" w:rsidRPr="00780FF4">
        <w:rPr>
          <w:rFonts w:ascii="PermianSerifTypeface" w:hAnsi="PermianSerifTypeface" w:cs="Times New Roman"/>
          <w:lang w:val="ro-RO"/>
        </w:rPr>
        <w:t xml:space="preserve"> </w:t>
      </w:r>
      <w:r w:rsidR="00AF21BC" w:rsidRPr="00780FF4">
        <w:rPr>
          <w:rFonts w:ascii="PermianSerifTypeface" w:hAnsi="PermianSerifTypeface" w:cs="Times New Roman"/>
          <w:lang w:val="ru-RU"/>
        </w:rPr>
        <w:t>июля</w:t>
      </w:r>
      <w:r w:rsidR="00534AE0" w:rsidRPr="00780FF4">
        <w:rPr>
          <w:rFonts w:ascii="PermianSerifTypeface" w:hAnsi="PermianSerifTypeface" w:cs="Times New Roman"/>
          <w:lang w:val="ro-RO"/>
        </w:rPr>
        <w:t xml:space="preserve"> 202</w:t>
      </w:r>
      <w:r w:rsidR="00081285" w:rsidRPr="00780FF4">
        <w:rPr>
          <w:rFonts w:ascii="PermianSerifTypeface" w:hAnsi="PermianSerifTypeface" w:cs="Times New Roman"/>
          <w:lang w:val="ro-RO"/>
        </w:rPr>
        <w:t>4</w:t>
      </w:r>
    </w:p>
    <w:p w14:paraId="1864E791" w14:textId="77777777" w:rsidR="00534AE0" w:rsidRPr="00780FF4" w:rsidRDefault="00534AE0" w:rsidP="00707C75">
      <w:pPr>
        <w:pStyle w:val="ListParagraph"/>
        <w:ind w:left="0" w:firstLine="426"/>
        <w:rPr>
          <w:rStyle w:val="Strong"/>
          <w:rFonts w:ascii="PermianSerifTypeface" w:hAnsi="PermianSerifTypeface" w:cs="Times New Roman"/>
          <w:i/>
          <w:color w:val="56534F"/>
          <w:shd w:val="clear" w:color="auto" w:fill="FAFAFA"/>
          <w:lang w:val="ro-RO"/>
        </w:rPr>
      </w:pPr>
    </w:p>
    <w:p w14:paraId="721470C0" w14:textId="77777777" w:rsidR="00534AE0" w:rsidRPr="00780FF4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 w:cs="Times New Roman"/>
          <w:b/>
          <w:color w:val="000000"/>
          <w:lang w:val="ro-RO"/>
        </w:rPr>
      </w:pPr>
    </w:p>
    <w:p w14:paraId="1536761B" w14:textId="7312BF4B" w:rsidR="00534AE0" w:rsidRPr="00780FF4" w:rsidRDefault="00686949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 w:cs="Times New Roman"/>
          <w:b/>
          <w:color w:val="000000"/>
          <w:lang w:val="ru-RU"/>
        </w:rPr>
      </w:pPr>
      <w:r w:rsidRPr="00780FF4">
        <w:rPr>
          <w:rStyle w:val="docheader"/>
          <w:rFonts w:ascii="PermianSerifTypeface" w:hAnsi="PermianSerifTypeface" w:cs="Times New Roman"/>
          <w:b/>
          <w:color w:val="000000"/>
          <w:lang w:val="ru-RU"/>
        </w:rPr>
        <w:t>РЕГЛАМЕНТ</w:t>
      </w:r>
    </w:p>
    <w:p w14:paraId="24146D0D" w14:textId="77C46C6E" w:rsidR="00686949" w:rsidRPr="00780FF4" w:rsidRDefault="00686949" w:rsidP="00686949">
      <w:pPr>
        <w:ind w:firstLine="426"/>
        <w:jc w:val="center"/>
        <w:rPr>
          <w:rFonts w:ascii="PermianSerifTypeface" w:hAnsi="PermianSerifTypeface" w:cs="Times New Roman"/>
          <w:b/>
          <w:bCs/>
          <w:lang w:val="ru-RU"/>
        </w:rPr>
      </w:pPr>
      <w:r w:rsidRPr="00780FF4">
        <w:rPr>
          <w:rFonts w:ascii="PermianSerifTypeface" w:hAnsi="PermianSerifTypeface" w:cs="Times New Roman"/>
          <w:b/>
          <w:bCs/>
          <w:lang w:val="ru-RU"/>
        </w:rPr>
        <w:t xml:space="preserve">об уведомлении о </w:t>
      </w:r>
      <w:r w:rsidR="00787B08" w:rsidRPr="00780FF4">
        <w:rPr>
          <w:rFonts w:ascii="PermianSerifTypeface" w:hAnsi="PermianSerifTypeface" w:cs="Times New Roman"/>
          <w:b/>
          <w:bCs/>
          <w:lang w:val="ru-RU"/>
        </w:rPr>
        <w:t xml:space="preserve">видах </w:t>
      </w:r>
      <w:r w:rsidRPr="00780FF4">
        <w:rPr>
          <w:rFonts w:ascii="PermianSerifTypeface" w:hAnsi="PermianSerifTypeface" w:cs="Times New Roman"/>
          <w:b/>
          <w:bCs/>
          <w:lang w:val="ru-RU"/>
        </w:rPr>
        <w:t>деятельности, предусмотренн</w:t>
      </w:r>
      <w:r w:rsidR="00787B08" w:rsidRPr="00780FF4">
        <w:rPr>
          <w:rFonts w:ascii="PermianSerifTypeface" w:hAnsi="PermianSerifTypeface" w:cs="Times New Roman"/>
          <w:b/>
          <w:bCs/>
          <w:lang w:val="ru-RU"/>
        </w:rPr>
        <w:t>ых</w:t>
      </w:r>
      <w:r w:rsidRPr="00780FF4">
        <w:rPr>
          <w:rFonts w:ascii="PermianSerifTypeface" w:hAnsi="PermianSerifTypeface" w:cs="Times New Roman"/>
          <w:b/>
          <w:bCs/>
          <w:lang w:val="ru-RU"/>
        </w:rPr>
        <w:t xml:space="preserve"> подп.  a) и b) п. 11</w:t>
      </w:r>
      <w:r w:rsidR="002801F0" w:rsidRPr="00780FF4">
        <w:rPr>
          <w:rFonts w:ascii="PermianSerifTypeface" w:hAnsi="PermianSerifTypeface" w:cs="Times New Roman"/>
          <w:b/>
          <w:bCs/>
          <w:lang w:val="ro-RO"/>
        </w:rPr>
        <w:t>)</w:t>
      </w:r>
      <w:r w:rsidRPr="00780FF4">
        <w:rPr>
          <w:rFonts w:ascii="PermianSerifTypeface" w:hAnsi="PermianSerifTypeface" w:cs="Times New Roman"/>
          <w:b/>
          <w:bCs/>
          <w:lang w:val="ru-RU"/>
        </w:rPr>
        <w:t xml:space="preserve"> части (2) ст. 2 Закона о платежных услугах и электронных деньгах № 114/2012 </w:t>
      </w:r>
    </w:p>
    <w:p w14:paraId="5448011A" w14:textId="77777777" w:rsidR="00534AE0" w:rsidRPr="00780FF4" w:rsidRDefault="00534AE0" w:rsidP="00707C75">
      <w:pPr>
        <w:pStyle w:val="ListParagraph"/>
        <w:ind w:left="0" w:firstLine="426"/>
        <w:rPr>
          <w:rFonts w:ascii="PermianSerifTypeface" w:hAnsi="PermianSerifTypeface" w:cs="Times New Roman"/>
          <w:b/>
          <w:lang w:val="ru-RU"/>
        </w:rPr>
      </w:pPr>
    </w:p>
    <w:p w14:paraId="695F33A9" w14:textId="291619F4" w:rsidR="00534AE0" w:rsidRPr="00780FF4" w:rsidRDefault="00686949" w:rsidP="00707C75">
      <w:pPr>
        <w:pStyle w:val="ListParagraph"/>
        <w:ind w:left="0" w:firstLine="426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u-RU"/>
        </w:rPr>
        <w:t xml:space="preserve">Глава </w:t>
      </w:r>
      <w:r w:rsidRPr="00780FF4">
        <w:rPr>
          <w:rFonts w:ascii="PermianSerifTypeface" w:hAnsi="PermianSerifTypeface" w:cs="Times New Roman"/>
          <w:b/>
          <w:lang w:val="ro-RO"/>
        </w:rPr>
        <w:t>I</w:t>
      </w:r>
    </w:p>
    <w:p w14:paraId="044DC5D8" w14:textId="59D78C0D" w:rsidR="00534AE0" w:rsidRPr="00780FF4" w:rsidRDefault="00686949" w:rsidP="00707C75">
      <w:pPr>
        <w:pStyle w:val="ListParagraph"/>
        <w:ind w:left="0" w:firstLine="426"/>
        <w:jc w:val="center"/>
        <w:rPr>
          <w:rFonts w:ascii="PermianSerifTypeface" w:hAnsi="PermianSerifTypeface" w:cs="Times New Roman"/>
          <w:b/>
          <w:lang w:val="ru-RU"/>
        </w:rPr>
      </w:pPr>
      <w:r w:rsidRPr="00780FF4">
        <w:rPr>
          <w:rFonts w:ascii="PermianSerifTypeface" w:hAnsi="PermianSerifTypeface" w:cs="Times New Roman"/>
          <w:b/>
          <w:lang w:val="ru-RU"/>
        </w:rPr>
        <w:t>ОБЩИЕ ПОЛОЖЕНИЯ</w:t>
      </w:r>
    </w:p>
    <w:p w14:paraId="5330BD89" w14:textId="207D71A5" w:rsidR="00686949" w:rsidRPr="00780FF4" w:rsidRDefault="00686949" w:rsidP="0080208A">
      <w:pPr>
        <w:pStyle w:val="NormalWeb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spacing w:after="120"/>
        <w:ind w:left="0" w:firstLine="426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780FF4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Регламент об уведомлении о </w:t>
      </w:r>
      <w:r w:rsidR="00787B08" w:rsidRPr="00780FF4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видах </w:t>
      </w:r>
      <w:r w:rsidRPr="00780FF4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деятельности, предусмотренн</w:t>
      </w:r>
      <w:r w:rsidR="00787B08" w:rsidRPr="00780FF4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>ых</w:t>
      </w:r>
      <w:r w:rsidRPr="00780FF4">
        <w:rPr>
          <w:rFonts w:ascii="PermianSerifTypeface" w:hAnsi="PermianSerifTypeface"/>
          <w:bCs/>
          <w:sz w:val="22"/>
          <w:szCs w:val="22"/>
          <w:lang w:val="ru-RU"/>
        </w:rPr>
        <w:t xml:space="preserve"> подп.  a) и b) п. 11</w:t>
      </w:r>
      <w:r w:rsidR="007B2967" w:rsidRPr="00780FF4">
        <w:rPr>
          <w:rFonts w:ascii="PermianSerifTypeface" w:hAnsi="PermianSerifTypeface"/>
          <w:bCs/>
          <w:sz w:val="22"/>
          <w:szCs w:val="22"/>
          <w:lang w:val="ro-RO"/>
        </w:rPr>
        <w:t>)</w:t>
      </w:r>
      <w:r w:rsidRPr="00780FF4">
        <w:rPr>
          <w:rFonts w:ascii="PermianSerifTypeface" w:hAnsi="PermianSerifTypeface"/>
          <w:bCs/>
          <w:sz w:val="22"/>
          <w:szCs w:val="22"/>
          <w:lang w:val="ru-RU"/>
        </w:rPr>
        <w:t xml:space="preserve"> части (2) ст. 2 Закона</w:t>
      </w:r>
      <w:r w:rsidRPr="00780FF4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</w:t>
      </w:r>
      <w:r w:rsidRPr="00780FF4">
        <w:rPr>
          <w:rFonts w:ascii="PermianSerifTypeface" w:hAnsi="PermianSerifTypeface"/>
          <w:bCs/>
          <w:sz w:val="22"/>
          <w:szCs w:val="22"/>
          <w:lang w:val="ru-RU"/>
        </w:rPr>
        <w:t>о платежных услугах и электронных деньгах № 114/2012 (далее – Регламент) распространяется на лиц, которые намереваются осуществлять или осуществляют любую деятельность, подпадающую под положения подп.  a) и/или b) п. 11</w:t>
      </w:r>
      <w:r w:rsidR="00AD6CF4" w:rsidRPr="00780FF4">
        <w:rPr>
          <w:rFonts w:ascii="PermianSerifTypeface" w:hAnsi="PermianSerifTypeface"/>
          <w:bCs/>
          <w:sz w:val="22"/>
          <w:szCs w:val="22"/>
          <w:lang w:val="ro-RO"/>
        </w:rPr>
        <w:t>)</w:t>
      </w:r>
      <w:r w:rsidRPr="00780FF4">
        <w:rPr>
          <w:rFonts w:ascii="PermianSerifTypeface" w:hAnsi="PermianSerifTypeface"/>
          <w:bCs/>
          <w:sz w:val="22"/>
          <w:szCs w:val="22"/>
          <w:lang w:val="ru-RU"/>
        </w:rPr>
        <w:t xml:space="preserve"> части (2) ст. 2 Закона</w:t>
      </w:r>
      <w:r w:rsidRPr="00780FF4">
        <w:rPr>
          <w:rFonts w:ascii="PermianSerifTypeface" w:hAnsi="PermianSerifTypeface"/>
          <w:bCs/>
          <w:color w:val="000000" w:themeColor="text1"/>
          <w:sz w:val="22"/>
          <w:szCs w:val="22"/>
          <w:lang w:val="ru-RU"/>
        </w:rPr>
        <w:t xml:space="preserve"> </w:t>
      </w:r>
      <w:r w:rsidRPr="00780FF4">
        <w:rPr>
          <w:rFonts w:ascii="PermianSerifTypeface" w:hAnsi="PermianSerifTypeface"/>
          <w:bCs/>
          <w:sz w:val="22"/>
          <w:szCs w:val="22"/>
          <w:lang w:val="ru-RU"/>
        </w:rPr>
        <w:t>о платежных услугах и электронных деньгах № 114/2012 (далее – Закон № 114/2012). Настоящий Регламент транспонирует Руководство EBA/GL/2022/02 об исключении ограниченных сетей на основании DSP2.</w:t>
      </w:r>
    </w:p>
    <w:p w14:paraId="65D1EC99" w14:textId="1B372D3C" w:rsidR="00534AE0" w:rsidRPr="00780FF4" w:rsidRDefault="00686949" w:rsidP="00707C75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426"/>
        <w:contextualSpacing w:val="0"/>
        <w:jc w:val="both"/>
        <w:rPr>
          <w:rFonts w:ascii="PermianSerifTypeface" w:hAnsi="PermianSerifTypeface" w:cs="Times New Roman"/>
          <w:lang w:val="ru-RU"/>
        </w:rPr>
      </w:pPr>
      <w:r w:rsidRPr="00780FF4">
        <w:rPr>
          <w:rFonts w:ascii="PermianSerifTypeface" w:hAnsi="PermianSerifTypeface" w:cs="Times New Roman"/>
          <w:lang w:val="ru-RU"/>
        </w:rPr>
        <w:t>Для целей настоящего Регламента используются термины и выражения, предусмотренные в Законе № 114</w:t>
      </w:r>
      <w:r w:rsidR="00534AE0" w:rsidRPr="00780FF4">
        <w:rPr>
          <w:rFonts w:ascii="PermianSerifTypeface" w:hAnsi="PermianSerifTypeface" w:cs="Times New Roman"/>
          <w:lang w:val="ru-RU"/>
        </w:rPr>
        <w:t>/2012.</w:t>
      </w:r>
    </w:p>
    <w:p w14:paraId="7FBCF1B1" w14:textId="77777777" w:rsidR="00327B28" w:rsidRPr="00780FF4" w:rsidRDefault="00327B28" w:rsidP="00780FF4">
      <w:pPr>
        <w:spacing w:after="120" w:line="240" w:lineRule="auto"/>
        <w:rPr>
          <w:rFonts w:ascii="PermianSerifTypeface" w:hAnsi="PermianSerifTypeface" w:cs="Times New Roman"/>
          <w:b/>
        </w:rPr>
      </w:pPr>
    </w:p>
    <w:p w14:paraId="09D76D7D" w14:textId="44A16C1A" w:rsidR="00534AE0" w:rsidRPr="00780FF4" w:rsidRDefault="00686949" w:rsidP="00707C75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u-RU"/>
        </w:rPr>
        <w:t>Глава</w:t>
      </w:r>
      <w:r w:rsidR="00534AE0" w:rsidRPr="00780FF4">
        <w:rPr>
          <w:rFonts w:ascii="PermianSerifTypeface" w:hAnsi="PermianSerifTypeface" w:cs="Times New Roman"/>
          <w:b/>
          <w:lang w:val="ro-RO"/>
        </w:rPr>
        <w:t xml:space="preserve"> II</w:t>
      </w:r>
    </w:p>
    <w:p w14:paraId="19CF57E6" w14:textId="7FE1E883" w:rsidR="00686949" w:rsidRPr="00780FF4" w:rsidRDefault="00686949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o-RO"/>
        </w:rPr>
        <w:t xml:space="preserve">ТРЕБОВАНИЯ К УВЕДОМЛЕНИЮ В КОНТЕКСТЕ НАМЕРЕНИЯ ОСУЩЕСТВЛЕНИЯ </w:t>
      </w:r>
      <w:r w:rsidR="0000257B" w:rsidRPr="00780FF4">
        <w:rPr>
          <w:rFonts w:ascii="PermianSerifTypeface" w:eastAsia="Times New Roman" w:hAnsi="PermianSerifTypeface" w:cs="Times New Roman"/>
          <w:b/>
          <w:lang w:val="ru-RU" w:eastAsia="ro-MD"/>
        </w:rPr>
        <w:t>ПОДПАДАЮЩЕЙ ПОД ИСКЛЮЧЕИЕ</w:t>
      </w:r>
      <w:r w:rsidRPr="00780FF4">
        <w:rPr>
          <w:rFonts w:ascii="PermianSerifTypeface" w:hAnsi="PermianSerifTypeface" w:cs="Times New Roman"/>
          <w:b/>
          <w:lang w:val="ro-RO"/>
        </w:rPr>
        <w:t xml:space="preserve"> ДЕЯТЕЛЬНОСТИ</w:t>
      </w:r>
    </w:p>
    <w:p w14:paraId="73C6C3C8" w14:textId="451BF627" w:rsidR="00B54FA8" w:rsidRPr="00780FF4" w:rsidRDefault="00523A7B" w:rsidP="00B54FA8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RO"/>
        </w:rPr>
      </w:pPr>
      <w:bookmarkStart w:id="0" w:name="_Hlk138327424"/>
      <w:r w:rsidRPr="00780FF4">
        <w:rPr>
          <w:rFonts w:ascii="PermianSerifTypeface" w:hAnsi="PermianSerifTypeface" w:cs="Times New Roman"/>
          <w:b/>
          <w:lang w:val="ru-RU"/>
        </w:rPr>
        <w:t>Часть</w:t>
      </w:r>
      <w:r w:rsidR="00B54FA8" w:rsidRPr="00780FF4">
        <w:rPr>
          <w:rFonts w:ascii="PermianSerifTypeface" w:hAnsi="PermianSerifTypeface" w:cs="Times New Roman"/>
          <w:b/>
          <w:lang w:val="ro-RO"/>
        </w:rPr>
        <w:t xml:space="preserve"> 1</w:t>
      </w:r>
    </w:p>
    <w:p w14:paraId="4C199CF2" w14:textId="6103A10D" w:rsidR="003168FF" w:rsidRPr="00780FF4" w:rsidRDefault="003168FF" w:rsidP="00B54FA8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o-RO"/>
        </w:rPr>
        <w:t xml:space="preserve">ОГРАНИЧЕННАЯ СЕТЬ </w:t>
      </w:r>
      <w:r w:rsidRPr="00780FF4">
        <w:rPr>
          <w:rFonts w:ascii="PermianSerifTypeface" w:hAnsi="PermianSerifTypeface" w:cs="Times New Roman"/>
          <w:b/>
          <w:lang w:val="ru-RU"/>
        </w:rPr>
        <w:t>ПРОДАВЦОВ</w:t>
      </w:r>
      <w:r w:rsidRPr="00780FF4">
        <w:rPr>
          <w:rFonts w:ascii="PermianSerifTypeface" w:hAnsi="PermianSerifTypeface" w:cs="Times New Roman"/>
          <w:b/>
          <w:lang w:val="ro-RO"/>
        </w:rPr>
        <w:t xml:space="preserve"> И/ИЛИ ПОСТАВЩИКОВ УСЛУГ</w:t>
      </w:r>
    </w:p>
    <w:p w14:paraId="395C2ACA" w14:textId="23E0701C" w:rsidR="000E09B5" w:rsidRPr="00780FF4" w:rsidRDefault="00864A3A" w:rsidP="00EB1621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bookmarkStart w:id="1" w:name="_Ref136009688"/>
      <w:bookmarkEnd w:id="0"/>
      <w:r w:rsidRPr="00780FF4">
        <w:rPr>
          <w:rFonts w:ascii="PermianSerifTypeface" w:eastAsia="Times New Roman" w:hAnsi="PermianSerifTypeface" w:cs="Times New Roman"/>
          <w:lang w:val="ru-RU" w:eastAsia="ro-MD"/>
        </w:rPr>
        <w:lastRenderedPageBreak/>
        <w:t xml:space="preserve">Лицо, намеревающееся осуществлять </w:t>
      </w:r>
      <w:r w:rsidR="00787B08" w:rsidRPr="00780FF4">
        <w:rPr>
          <w:rFonts w:ascii="PermianSerifTypeface" w:eastAsia="Times New Roman" w:hAnsi="PermianSerifTypeface" w:cs="Times New Roman"/>
          <w:lang w:val="ru-RU" w:eastAsia="ro-MD"/>
        </w:rPr>
        <w:t xml:space="preserve">виды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деятельност</w:t>
      </w:r>
      <w:r w:rsidR="00787B08" w:rsidRPr="00780FF4">
        <w:rPr>
          <w:rFonts w:ascii="PermianSerifTypeface" w:eastAsia="Times New Roman" w:hAnsi="PermianSerifTypeface" w:cs="Times New Roman"/>
          <w:lang w:val="ru-RU" w:eastAsia="ro-MD"/>
        </w:rPr>
        <w:t>и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, указанн</w:t>
      </w:r>
      <w:r w:rsidR="00787B08" w:rsidRPr="00780FF4">
        <w:rPr>
          <w:rFonts w:ascii="PermianSerifTypeface" w:eastAsia="Times New Roman" w:hAnsi="PermianSerifTypeface" w:cs="Times New Roman"/>
          <w:lang w:val="ru-RU" w:eastAsia="ro-MD"/>
        </w:rPr>
        <w:t>ые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 xml:space="preserve"> в подп.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 a) п. 11</w:t>
      </w:r>
      <w:r w:rsidR="004D4688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</w:t>
      </w:r>
      <w:r w:rsidRPr="00780FF4">
        <w:rPr>
          <w:rFonts w:ascii="PermianSerifTypeface" w:hAnsi="PermianSerifTypeface" w:cs="Times New Roman"/>
          <w:bCs/>
          <w:color w:val="000000" w:themeColor="text1"/>
          <w:lang w:val="ru-RU"/>
        </w:rPr>
        <w:t xml:space="preserve">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№ 114/2012, начина</w:t>
      </w:r>
      <w:r w:rsidR="001516DF" w:rsidRPr="00780FF4">
        <w:rPr>
          <w:rFonts w:ascii="PermianSerifTypeface" w:eastAsia="Times New Roman" w:hAnsi="PermianSerifTypeface" w:cs="Times New Roman"/>
          <w:lang w:val="ru-RU" w:eastAsia="ro-MD"/>
        </w:rPr>
        <w:t>е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т деятельность лишь после уведомления Национального банка Молдовы об инициировании соответствующей деятельности</w:t>
      </w:r>
      <w:r w:rsidR="009557DE" w:rsidRPr="00780FF4">
        <w:rPr>
          <w:rFonts w:ascii="PermianSerifTypeface" w:hAnsi="PermianSerifTypeface" w:cs="Times New Roman"/>
          <w:bCs/>
          <w:lang w:val="ro-RO"/>
        </w:rPr>
        <w:t>.</w:t>
      </w:r>
      <w:bookmarkEnd w:id="1"/>
    </w:p>
    <w:p w14:paraId="7243E396" w14:textId="22B38668" w:rsidR="009557DE" w:rsidRPr="00780FF4" w:rsidRDefault="00617E5E" w:rsidP="00EB1621">
      <w:pPr>
        <w:pStyle w:val="ListParagraph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bookmarkStart w:id="2" w:name="_Ref136009740"/>
      <w:bookmarkStart w:id="3" w:name="_Hlk138257390"/>
      <w:r w:rsidRPr="00780FF4">
        <w:rPr>
          <w:rFonts w:ascii="PermianSerifTypeface" w:hAnsi="PermianSerifTypeface" w:cs="Times New Roman"/>
          <w:bCs/>
          <w:lang w:val="ru-RU"/>
        </w:rPr>
        <w:t xml:space="preserve">Уведомление, предусмотренное пунктом 3, содержит данные о наименовании лица, места нахождении/места жительства и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детальное описание подлежащих предоставлению услуг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с указанием, что товары и услуги предоставляются под </w:t>
      </w:r>
      <w:r w:rsidR="00D538AA" w:rsidRPr="00780FF4">
        <w:rPr>
          <w:rFonts w:ascii="PermianSerifTypeface" w:hAnsi="PermianSerifTypeface" w:cs="Times New Roman"/>
          <w:bCs/>
          <w:lang w:val="ru-RU"/>
        </w:rPr>
        <w:t>общей маркой</w:t>
      </w:r>
      <w:r w:rsidRPr="00780FF4">
        <w:rPr>
          <w:rFonts w:ascii="PermianSerifTypeface" w:hAnsi="PermianSerifTypeface" w:cs="Times New Roman"/>
          <w:bCs/>
          <w:lang w:val="ru-RU"/>
        </w:rPr>
        <w:t>, характеризующий ограниченную сеть и обеспечивающий клиенту соответствующее визуальное представление, включая указание исключения, в соответствии с которым деятельность считается осуществленной, а также следующую соответствующую информацию и документы</w:t>
      </w:r>
      <w:bookmarkStart w:id="4" w:name="_Hlk136009166"/>
      <w:bookmarkEnd w:id="2"/>
      <w:bookmarkEnd w:id="3"/>
      <w:r w:rsidR="000072B8" w:rsidRPr="00780FF4">
        <w:rPr>
          <w:rFonts w:ascii="PermianSerifTypeface" w:hAnsi="PermianSerifTypeface" w:cs="Times New Roman"/>
          <w:bCs/>
          <w:lang w:val="ro-RO"/>
        </w:rPr>
        <w:t>:</w:t>
      </w:r>
    </w:p>
    <w:bookmarkEnd w:id="4"/>
    <w:p w14:paraId="583165CE" w14:textId="5CE52930" w:rsidR="00AF67A4" w:rsidRPr="00780FF4" w:rsidRDefault="00617E5E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объем и стоимость ежегодных платежных операций, подлежащих осуществлению ежегодно</w:t>
      </w:r>
      <w:r w:rsidR="00AF67A4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0A6C4A76" w14:textId="15B46BE7" w:rsidR="00AF67A4" w:rsidRPr="00780FF4" w:rsidRDefault="001516DF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максимальная</w:t>
      </w:r>
      <w:r w:rsidR="00FD2366" w:rsidRPr="00780FF4">
        <w:rPr>
          <w:rFonts w:ascii="PermianSerifTypeface" w:hAnsi="PermianSerifTypeface" w:cs="Times New Roman"/>
          <w:bCs/>
          <w:lang w:val="ru-RU"/>
        </w:rPr>
        <w:t xml:space="preserve"> сумма, которая будет кредитована в инструменты/устройства</w:t>
      </w:r>
      <w:r w:rsidR="00AF67A4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3CDDEE37" w14:textId="020FDB95" w:rsidR="00AF67A4" w:rsidRPr="00780FF4" w:rsidRDefault="00FD2366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максимальное количество выпускаемых инструментов</w:t>
      </w:r>
      <w:r w:rsidR="00AF67A4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534BE47E" w14:textId="0083A73A" w:rsidR="00AF67A4" w:rsidRPr="00780FF4" w:rsidRDefault="00FD2366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описание рисков, с которыми может столкнуться клиент при использовании инструмента/устройства</w:t>
      </w:r>
      <w:r w:rsidR="00AF67A4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22DCA3A8" w14:textId="31A9F093" w:rsidR="00B77B41" w:rsidRPr="00780FF4" w:rsidRDefault="00FD2366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проект коммерческого соглашения между эмитентом инструмента/устройства и каждым продавцом и/или поставщиком услуг, которые будут осуществлять деятельность в ограниченной сети</w:t>
      </w:r>
      <w:r w:rsidR="006922E2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756998C7" w14:textId="4FF51284" w:rsidR="00465124" w:rsidRPr="00780FF4" w:rsidRDefault="00FD2366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bookmarkStart w:id="5" w:name="_Ref136010267"/>
      <w:r w:rsidRPr="00780FF4">
        <w:rPr>
          <w:rFonts w:ascii="PermianSerifTypeface" w:hAnsi="PermianSerifTypeface" w:cs="Times New Roman"/>
          <w:bCs/>
          <w:lang w:val="ru-RU"/>
        </w:rPr>
        <w:t>ожидаемое максимальное количество продавцов и/или поставщиков услуг, осуществляющих деятельность в ограниченной сети, а также описание технических ограничений, которые будут применяться к инструментам/устройствам, ограничивающим их использование максимальным ожидаемым количеством продавцов и/или или поставщиков услуг</w:t>
      </w:r>
      <w:r w:rsidR="00465124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35231104" w14:textId="72F29A09" w:rsidR="00FB473A" w:rsidRPr="00780FF4" w:rsidRDefault="00FD2366" w:rsidP="00EB1621">
      <w:pPr>
        <w:pStyle w:val="ListParagraph"/>
        <w:numPr>
          <w:ilvl w:val="0"/>
          <w:numId w:val="1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конкретный географический район поставки товаров и услуг</w:t>
      </w:r>
      <w:r w:rsidR="008A7A8D" w:rsidRPr="00780FF4">
        <w:rPr>
          <w:rFonts w:ascii="PermianSerifTypeface" w:hAnsi="PermianSerifTypeface" w:cs="Times New Roman"/>
          <w:bCs/>
          <w:lang w:val="ru-RU"/>
        </w:rPr>
        <w:t>.</w:t>
      </w:r>
      <w:bookmarkEnd w:id="5"/>
    </w:p>
    <w:p w14:paraId="2EB113B7" w14:textId="0AABBF38" w:rsidR="00FD2366" w:rsidRPr="00780FF4" w:rsidRDefault="00FD2366" w:rsidP="00EB1621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Уведомление, сопровождаемое документами и информацией, указанными в пункте 4, </w:t>
      </w:r>
      <w:r w:rsidR="000E0C43" w:rsidRPr="00780FF4">
        <w:rPr>
          <w:rFonts w:ascii="PermianSerifTypeface" w:hAnsi="PermianSerifTypeface" w:cs="Times New Roman"/>
          <w:bCs/>
          <w:lang w:val="ru-RU"/>
        </w:rPr>
        <w:t xml:space="preserve">представляются подписанными </w:t>
      </w:r>
      <w:r w:rsidR="00B71F17" w:rsidRPr="00780FF4">
        <w:rPr>
          <w:rFonts w:ascii="PermianSerifTypeface" w:hAnsi="PermianSerifTypeface" w:cs="Times New Roman"/>
          <w:bCs/>
          <w:lang w:val="ru-RU"/>
        </w:rPr>
        <w:t>органом управления/членом органа управления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или уполномоченным лицом на бумажном носителе в местонахождении Национального банка Молдовы или в электронной форме с применением квалифицированной электронной подписи в соответствии с Закон об электронной идентификации и доверительных  услугах № 124/2022 по адресу: </w:t>
      </w:r>
      <w:hyperlink r:id="rId10" w:history="1">
        <w:r w:rsidR="00055630" w:rsidRPr="00780FF4">
          <w:rPr>
            <w:rStyle w:val="Hyperlink"/>
            <w:rFonts w:ascii="PermianSerifTypeface" w:hAnsi="PermianSerifTypeface" w:cs="Times New Roman"/>
            <w:bCs/>
            <w:lang w:val="ro-RO"/>
          </w:rPr>
          <w:t>reglementare.psp@bnm.md</w:t>
        </w:r>
      </w:hyperlink>
      <w:r w:rsidR="00055630" w:rsidRPr="00780FF4">
        <w:rPr>
          <w:rStyle w:val="Hyperlink"/>
          <w:rFonts w:ascii="PermianSerifTypeface" w:hAnsi="PermianSerifTypeface" w:cs="Times New Roman"/>
          <w:bCs/>
          <w:u w:val="none"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или по другим электронным каналам в соответствии с нормативными актами Национального банка Молдовы.</w:t>
      </w:r>
    </w:p>
    <w:p w14:paraId="69886E27" w14:textId="55600FCD" w:rsidR="008A7A8D" w:rsidRPr="00780FF4" w:rsidRDefault="00055630" w:rsidP="00EB1621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r w:rsidRPr="00780FF4">
        <w:rPr>
          <w:rFonts w:ascii="PermianSerifTypeface" w:hAnsi="PermianSerifTypeface" w:cs="Times New Roman"/>
          <w:bCs/>
          <w:lang w:val="ru-RU"/>
        </w:rPr>
        <w:t>Ограниченная сеть продавцов и/или поставщиков услуг состоит только из магазинов, коммерческих единиц розничной торговли через бюро заказов или через интернет, определенные в соответствии с Законом о внутренней торговле № 231/2010 или их сочетании</w:t>
      </w:r>
      <w:r w:rsidR="008A7A8D" w:rsidRPr="00780FF4">
        <w:rPr>
          <w:rFonts w:ascii="PermianSerifTypeface" w:hAnsi="PermianSerifTypeface" w:cs="Times New Roman"/>
          <w:bCs/>
          <w:lang w:val="ro-RO"/>
        </w:rPr>
        <w:t>.</w:t>
      </w:r>
    </w:p>
    <w:p w14:paraId="1A22563B" w14:textId="7696E6C1" w:rsidR="0068266D" w:rsidRPr="00780FF4" w:rsidRDefault="00F6654F" w:rsidP="00EB1621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Инструменты/устройства, исключенные на основании подп. а) п. 11</w:t>
      </w:r>
      <w:r w:rsidR="00BE213C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</w:t>
      </w:r>
      <w:r w:rsidR="0068266D" w:rsidRPr="00780FF4">
        <w:rPr>
          <w:rFonts w:ascii="PermianSerifTypeface" w:hAnsi="PermianSerifTypeface" w:cs="Times New Roman"/>
          <w:bCs/>
          <w:lang w:val="ru-RU"/>
        </w:rPr>
        <w:t xml:space="preserve"> 2 </w:t>
      </w:r>
      <w:r w:rsidRPr="00780FF4">
        <w:rPr>
          <w:rFonts w:ascii="PermianSerifTypeface" w:hAnsi="PermianSerifTypeface" w:cs="Times New Roman"/>
          <w:bCs/>
          <w:lang w:val="ru-RU"/>
        </w:rPr>
        <w:t>Закона №</w:t>
      </w:r>
      <w:r w:rsidR="0068266D" w:rsidRPr="00780FF4">
        <w:rPr>
          <w:rFonts w:ascii="PermianSerifTypeface" w:hAnsi="PermianSerifTypeface" w:cs="Times New Roman"/>
          <w:bCs/>
          <w:lang w:val="ru-RU"/>
        </w:rPr>
        <w:t xml:space="preserve"> 114/2012 </w:t>
      </w:r>
      <w:r w:rsidRPr="00780FF4">
        <w:rPr>
          <w:rFonts w:ascii="PermianSerifTypeface" w:hAnsi="PermianSerifTypeface" w:cs="Times New Roman"/>
          <w:bCs/>
          <w:lang w:val="ru-RU"/>
        </w:rPr>
        <w:t>не могут использоваться в нескольких ограниченных сетях продавцов и/или поставщиков услуг</w:t>
      </w:r>
      <w:r w:rsidR="0068266D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7BBCA099" w14:textId="53CAFDEB" w:rsidR="00600A1C" w:rsidRPr="00780FF4" w:rsidRDefault="0034751A" w:rsidP="00EE22CF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Инструменты/устройства, позволяющие владельцу получать товары или услуги, реализуемые в розницу, только в помещениях эмитента, предусмотренных подп. а) п. 11</w:t>
      </w:r>
      <w:r w:rsidR="00BE213C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 2 Закона № 114/2012, можно использовать только в </w:t>
      </w:r>
      <w:r w:rsidR="001516DF" w:rsidRPr="00780FF4">
        <w:rPr>
          <w:rFonts w:ascii="PermianSerifTypeface" w:hAnsi="PermianSerifTypeface" w:cs="Times New Roman"/>
          <w:bCs/>
          <w:lang w:val="ru-RU"/>
        </w:rPr>
        <w:t>физических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магазинах</w:t>
      </w:r>
      <w:r w:rsidR="00600A1C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32E80F2B" w14:textId="79D36E87" w:rsidR="00D739F3" w:rsidRPr="00780FF4" w:rsidRDefault="001516DF" w:rsidP="00EE22CF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r w:rsidRPr="00780FF4">
        <w:rPr>
          <w:rFonts w:ascii="PermianSerifTypeface" w:eastAsia="Times New Roman" w:hAnsi="PermianSerifTypeface" w:cs="Times New Roman"/>
          <w:lang w:val="ru-RU" w:eastAsia="ro-MD"/>
        </w:rPr>
        <w:t>Лицо, намеревающееся осуществлять деятельность, указанную в подп.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 </w:t>
      </w:r>
      <w:r w:rsidR="00E27C76" w:rsidRPr="00780FF4">
        <w:rPr>
          <w:rFonts w:ascii="PermianSerifTypeface" w:hAnsi="PermianSerifTypeface" w:cs="Times New Roman"/>
          <w:bCs/>
          <w:lang w:val="ro-RO"/>
        </w:rPr>
        <w:t>a</w:t>
      </w:r>
      <w:r w:rsidRPr="00780FF4">
        <w:rPr>
          <w:rFonts w:ascii="PermianSerifTypeface" w:hAnsi="PermianSerifTypeface" w:cs="Times New Roman"/>
          <w:bCs/>
          <w:lang w:val="ru-RU"/>
        </w:rPr>
        <w:t>) п. 11</w:t>
      </w:r>
      <w:r w:rsidR="00BE213C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</w:t>
      </w:r>
      <w:r w:rsidRPr="00780FF4">
        <w:rPr>
          <w:rFonts w:ascii="PermianSerifTypeface" w:hAnsi="PermianSerifTypeface" w:cs="Times New Roman"/>
          <w:bCs/>
          <w:color w:val="000000" w:themeColor="text1"/>
          <w:lang w:val="ru-RU"/>
        </w:rPr>
        <w:t xml:space="preserve">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№ 114/2012, применит технические и договорные ограничения, ограничивающие использование инструмента/устройства</w:t>
      </w:r>
      <w:r w:rsidR="00DD388C" w:rsidRPr="00780FF4">
        <w:rPr>
          <w:rFonts w:ascii="PermianSerifTypeface" w:hAnsi="PermianSerifTypeface" w:cs="Times New Roman"/>
          <w:bCs/>
          <w:lang w:val="ro-RO"/>
        </w:rPr>
        <w:t>.</w:t>
      </w:r>
      <w:r w:rsidR="00CD3762" w:rsidRPr="00780FF4">
        <w:rPr>
          <w:rFonts w:ascii="PermianSerifTypeface" w:hAnsi="PermianSerifTypeface" w:cs="Times New Roman"/>
          <w:bCs/>
          <w:lang w:val="ro-RO"/>
        </w:rPr>
        <w:t xml:space="preserve"> </w:t>
      </w:r>
    </w:p>
    <w:p w14:paraId="73AB347F" w14:textId="77777777" w:rsidR="00780FF4" w:rsidRDefault="00780FF4" w:rsidP="00D911C0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</w:rPr>
      </w:pPr>
    </w:p>
    <w:p w14:paraId="36BA3A03" w14:textId="77777777" w:rsidR="00780FF4" w:rsidRDefault="00780FF4" w:rsidP="00D911C0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</w:rPr>
      </w:pPr>
    </w:p>
    <w:p w14:paraId="6E375CEE" w14:textId="0A09D843" w:rsidR="00D911C0" w:rsidRPr="00780FF4" w:rsidRDefault="001516DF" w:rsidP="00D911C0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u-RU"/>
        </w:rPr>
        <w:lastRenderedPageBreak/>
        <w:t>Часть</w:t>
      </w:r>
      <w:r w:rsidR="00D911C0" w:rsidRPr="00780FF4">
        <w:rPr>
          <w:rFonts w:ascii="PermianSerifTypeface" w:hAnsi="PermianSerifTypeface" w:cs="Times New Roman"/>
          <w:b/>
          <w:lang w:val="ro-RO"/>
        </w:rPr>
        <w:t xml:space="preserve"> 2</w:t>
      </w:r>
    </w:p>
    <w:p w14:paraId="31EAF202" w14:textId="3681E6A3" w:rsidR="00D911C0" w:rsidRPr="00780FF4" w:rsidRDefault="001516DF" w:rsidP="00707C75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o-RO"/>
        </w:rPr>
        <w:t xml:space="preserve">           ОГРАНИЧЕННЫЙ АССОРТИМЕНТ ТОВАРОВ ИЛИ УСЛУГ</w:t>
      </w:r>
    </w:p>
    <w:p w14:paraId="3CC7555F" w14:textId="15B2B719" w:rsidR="00736BE2" w:rsidRPr="00780FF4" w:rsidRDefault="001516DF" w:rsidP="0038515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bookmarkStart w:id="6" w:name="_Ref139378110"/>
      <w:r w:rsidRPr="00780FF4">
        <w:rPr>
          <w:rFonts w:ascii="PermianSerifTypeface" w:eastAsia="Times New Roman" w:hAnsi="PermianSerifTypeface" w:cs="Times New Roman"/>
          <w:lang w:val="ru-RU" w:eastAsia="ro-MD"/>
        </w:rPr>
        <w:t>Лицо, намеревающееся осуществлять деятельность, указанную в подп.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 </w:t>
      </w:r>
      <w:r w:rsidRPr="00780FF4">
        <w:rPr>
          <w:rFonts w:ascii="PermianSerifTypeface" w:hAnsi="PermianSerifTypeface" w:cs="Times New Roman"/>
          <w:bCs/>
          <w:lang w:val="ro-RO"/>
        </w:rPr>
        <w:t>b</w:t>
      </w:r>
      <w:r w:rsidRPr="00780FF4">
        <w:rPr>
          <w:rFonts w:ascii="PermianSerifTypeface" w:hAnsi="PermianSerifTypeface" w:cs="Times New Roman"/>
          <w:bCs/>
          <w:lang w:val="ru-RU"/>
        </w:rPr>
        <w:t>) п. 11</w:t>
      </w:r>
      <w:r w:rsidR="00D40316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</w:t>
      </w:r>
      <w:r w:rsidRPr="00780FF4">
        <w:rPr>
          <w:rFonts w:ascii="PermianSerifTypeface" w:hAnsi="PermianSerifTypeface" w:cs="Times New Roman"/>
          <w:bCs/>
          <w:color w:val="000000" w:themeColor="text1"/>
          <w:lang w:val="ru-RU"/>
        </w:rPr>
        <w:t xml:space="preserve">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№ 114/2012, начинает деятельность лишь после уведомления Национального банка Молдовы об инициировании соответствующей деятельности</w:t>
      </w:r>
      <w:r w:rsidR="00736BE2" w:rsidRPr="00780FF4">
        <w:rPr>
          <w:rFonts w:ascii="PermianSerifTypeface" w:hAnsi="PermianSerifTypeface" w:cs="Times New Roman"/>
          <w:bCs/>
          <w:lang w:val="ro-RO"/>
        </w:rPr>
        <w:t>.</w:t>
      </w:r>
    </w:p>
    <w:p w14:paraId="502EF74B" w14:textId="25D4D246" w:rsidR="0090640F" w:rsidRPr="00780FF4" w:rsidRDefault="001516DF" w:rsidP="00385157">
      <w:pPr>
        <w:pStyle w:val="ListParagraph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Уведомление, предусмотренное пунктом 10, содержит данные о наименовании лица, места нахождении/места жительства, а также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описание функциональной связи между товарами и/или услугами, которые будут получены с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помощью инструмента/устройства, включая указание исключения, в рамках которого будет осуществляться деятельность, а также следующую соответствующую информацию и документы</w:t>
      </w:r>
      <w:bookmarkEnd w:id="6"/>
      <w:r w:rsidR="00687B6A" w:rsidRPr="00780FF4">
        <w:rPr>
          <w:rFonts w:ascii="PermianSerifTypeface" w:hAnsi="PermianSerifTypeface" w:cs="Times New Roman"/>
          <w:bCs/>
          <w:lang w:val="ro-RO"/>
        </w:rPr>
        <w:t>:</w:t>
      </w:r>
    </w:p>
    <w:p w14:paraId="34D1DD2D" w14:textId="5943A6E0" w:rsidR="0090640F" w:rsidRPr="00780FF4" w:rsidRDefault="001516DF" w:rsidP="00385157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объем и </w:t>
      </w:r>
      <w:r w:rsidR="00787B08" w:rsidRPr="00780FF4">
        <w:rPr>
          <w:rFonts w:ascii="PermianSerifTypeface" w:hAnsi="PermianSerifTypeface" w:cs="Times New Roman"/>
          <w:bCs/>
          <w:lang w:val="ru-RU"/>
        </w:rPr>
        <w:t>стоимость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платежных операций, ежегодно осуществляемых с использованием инструмента/устройства</w:t>
      </w:r>
      <w:r w:rsidR="0090640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721ED485" w14:textId="2469F6BF" w:rsidR="0090640F" w:rsidRPr="00780FF4" w:rsidRDefault="00604106" w:rsidP="00385157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максимальная сумма, которая будет кредитована в инструменты/устройства</w:t>
      </w:r>
      <w:r w:rsidR="0090640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23CBF5F8" w14:textId="7AD49717" w:rsidR="0090640F" w:rsidRPr="00780FF4" w:rsidRDefault="00604106" w:rsidP="00385157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максимальное количество выпускаемых инструментов/устройств</w:t>
      </w:r>
      <w:r w:rsidR="0090640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64A91A7C" w14:textId="040B6002" w:rsidR="001E1B64" w:rsidRPr="00780FF4" w:rsidRDefault="00604106" w:rsidP="00385157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r w:rsidRPr="00780FF4">
        <w:rPr>
          <w:rFonts w:ascii="PermianSerifTypeface" w:hAnsi="PermianSerifTypeface" w:cs="Times New Roman"/>
          <w:bCs/>
          <w:lang w:val="ru-RU"/>
        </w:rPr>
        <w:t>описание рисков, с которыми может столкнуться клиент при использовании инструмента/устройства</w:t>
      </w:r>
      <w:r w:rsidR="001E1B64" w:rsidRPr="00780FF4">
        <w:rPr>
          <w:rFonts w:ascii="PermianSerifTypeface" w:hAnsi="PermianSerifTypeface" w:cs="Times New Roman"/>
          <w:bCs/>
          <w:lang w:val="ro-RO"/>
        </w:rPr>
        <w:t>.</w:t>
      </w:r>
    </w:p>
    <w:p w14:paraId="55DBF212" w14:textId="657B1030" w:rsidR="00604106" w:rsidRPr="00780FF4" w:rsidRDefault="00604106" w:rsidP="0038515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r w:rsidRPr="00780FF4">
        <w:rPr>
          <w:rFonts w:ascii="PermianSerifTypeface" w:hAnsi="PermianSerifTypeface" w:cs="Times New Roman"/>
          <w:bCs/>
          <w:lang w:val="ru-RU"/>
        </w:rPr>
        <w:t>Уведомление, сопровождаемое документами и информацией, указанными в пункте 11</w:t>
      </w:r>
      <w:r w:rsidR="000E0C43" w:rsidRPr="00780FF4">
        <w:rPr>
          <w:rFonts w:ascii="PermianSerifTypeface" w:hAnsi="PermianSerifTypeface" w:cs="Times New Roman"/>
          <w:bCs/>
          <w:lang w:val="ru-RU"/>
        </w:rPr>
        <w:t xml:space="preserve">, 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</w:t>
      </w:r>
      <w:r w:rsidR="000E0C43" w:rsidRPr="00780FF4">
        <w:rPr>
          <w:rFonts w:ascii="PermianSerifTypeface" w:hAnsi="PermianSerifTypeface" w:cs="Times New Roman"/>
          <w:bCs/>
          <w:lang w:val="ru-RU"/>
        </w:rPr>
        <w:t xml:space="preserve">представляются подписанными </w:t>
      </w:r>
      <w:r w:rsidR="00BA722E" w:rsidRPr="00780FF4">
        <w:rPr>
          <w:rFonts w:ascii="PermianSerifTypeface" w:hAnsi="PermianSerifTypeface" w:cs="Times New Roman"/>
          <w:bCs/>
          <w:lang w:val="ru-RU"/>
        </w:rPr>
        <w:t>органом управления/членом органа управления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или уполномоченным лицом на бумажном носителе в местонахождении Национального банка Молдовы или в электронной форме с применением квалифицированной электронной подписи в соответствии с Закон об электронной идентификации и доверительных  услугах № 124/2022 по адресу: </w:t>
      </w:r>
      <w:hyperlink r:id="rId11" w:history="1">
        <w:r w:rsidRPr="00780FF4">
          <w:rPr>
            <w:rStyle w:val="Hyperlink"/>
            <w:rFonts w:ascii="PermianSerifTypeface" w:hAnsi="PermianSerifTypeface" w:cs="Times New Roman"/>
            <w:bCs/>
            <w:lang w:val="ro-RO"/>
          </w:rPr>
          <w:t>reglementare.psp@bnm.md</w:t>
        </w:r>
      </w:hyperlink>
      <w:r w:rsidRPr="00780FF4">
        <w:rPr>
          <w:rStyle w:val="Hyperlink"/>
          <w:rFonts w:ascii="PermianSerifTypeface" w:hAnsi="PermianSerifTypeface" w:cs="Times New Roman"/>
          <w:bCs/>
          <w:u w:val="none"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или по другим электронным каналам в соответствии с нормативными актами Национального банка Молдовы.</w:t>
      </w:r>
    </w:p>
    <w:p w14:paraId="08DC2686" w14:textId="3D16B303" w:rsidR="0090640F" w:rsidRPr="00780FF4" w:rsidRDefault="00762090" w:rsidP="0038515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Чтобы использование инструмента/устройства считалось ограниченным при покупке очень ограниченного ассортимента товаров или услуг, как это предусмотрено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подп.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 b) п. 11</w:t>
      </w:r>
      <w:r w:rsidR="00335F2B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</w:t>
      </w:r>
      <w:r w:rsidRPr="00780FF4">
        <w:rPr>
          <w:rFonts w:ascii="PermianSerifTypeface" w:hAnsi="PermianSerifTypeface" w:cs="Times New Roman"/>
          <w:bCs/>
          <w:color w:val="000000" w:themeColor="text1"/>
          <w:lang w:val="ru-RU"/>
        </w:rPr>
        <w:t xml:space="preserve"> </w:t>
      </w:r>
      <w:r w:rsidRPr="00780FF4">
        <w:rPr>
          <w:rFonts w:ascii="PermianSerifTypeface" w:eastAsia="Times New Roman" w:hAnsi="PermianSerifTypeface" w:cs="Times New Roman"/>
          <w:lang w:val="ru-RU" w:eastAsia="ro-MD"/>
        </w:rPr>
        <w:t>№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114/2012, должна существовать функциональная связь между товарами и/или услугами, которые можно приобрести с помощью соответствующего инструмента/устройства</w:t>
      </w:r>
      <w:r w:rsidR="00C812AF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4A3E0DE9" w14:textId="2F506E4A" w:rsidR="00C812AF" w:rsidRPr="00780FF4" w:rsidRDefault="00762090" w:rsidP="00385157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При оценке функциональной связи между товарами и/или услугами, которые можно приобрести с помощью соответствующего инструмента/устройства, Национальный банк Молдовы учитывает, определил ли эмитент конкретную категорию товаров и/или услуг, которые служат общей цели</w:t>
      </w:r>
      <w:r w:rsidR="00B54FA8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0AB5C341" w14:textId="3DFCC970" w:rsidR="009557DE" w:rsidRPr="00780FF4" w:rsidRDefault="00762090" w:rsidP="00687B6A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Если в результате рассмотрения уведомления, документов и информации, указанных в пунктах 4 и 11, Национальный банк Молдовы </w:t>
      </w:r>
      <w:r w:rsidR="00A35BD4" w:rsidRPr="00780FF4">
        <w:rPr>
          <w:rFonts w:ascii="PermianSerifTypeface" w:eastAsia="Times New Roman" w:hAnsi="PermianSerifTypeface" w:cs="Times New Roman"/>
          <w:lang w:val="ru-RU" w:eastAsia="ro-MD"/>
        </w:rPr>
        <w:t>устанавливается, что лицо намерено осуществлять иную деятельность, кроме указанной и подлежащей лицензированию, или деятельность, подлежащую лицензированию</w:t>
      </w:r>
      <w:r w:rsidRPr="00780FF4">
        <w:rPr>
          <w:rFonts w:ascii="PermianSerifTypeface" w:hAnsi="PermianSerifTypeface" w:cs="Times New Roman"/>
          <w:bCs/>
          <w:lang w:val="ru-RU"/>
        </w:rPr>
        <w:t>, применяются положения части (3) ст. 21 Закона № 114/2012</w:t>
      </w:r>
      <w:r w:rsidR="00A35BD4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2740315D" w14:textId="0907322D" w:rsidR="00A94993" w:rsidRPr="00780FF4" w:rsidRDefault="00A35BD4" w:rsidP="00707C75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u-RU"/>
        </w:rPr>
        <w:t>Глава</w:t>
      </w:r>
      <w:r w:rsidR="00413D34" w:rsidRPr="00780FF4">
        <w:rPr>
          <w:rFonts w:ascii="PermianSerifTypeface" w:hAnsi="PermianSerifTypeface" w:cs="Times New Roman"/>
          <w:b/>
          <w:lang w:val="ro-RO"/>
        </w:rPr>
        <w:t xml:space="preserve"> III</w:t>
      </w:r>
    </w:p>
    <w:p w14:paraId="318F3CFD" w14:textId="5382779E" w:rsidR="00A35BD4" w:rsidRPr="00780FF4" w:rsidRDefault="00A35BD4" w:rsidP="00707C75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MD"/>
        </w:rPr>
      </w:pPr>
      <w:r w:rsidRPr="00780FF4">
        <w:rPr>
          <w:rFonts w:ascii="PermianSerifTypeface" w:hAnsi="PermianSerifTypeface" w:cs="Times New Roman"/>
          <w:b/>
          <w:lang w:val="ro-MD"/>
        </w:rPr>
        <w:t>УВЕДОМЛЕНИЕ В СЛУЧАЕ О</w:t>
      </w:r>
      <w:r w:rsidRPr="00780FF4">
        <w:rPr>
          <w:rFonts w:ascii="PermianSerifTypeface" w:hAnsi="PermianSerifTypeface" w:cs="Times New Roman"/>
          <w:b/>
          <w:lang w:val="ru-RU"/>
        </w:rPr>
        <w:t>СУЩЕСТВЛЕН</w:t>
      </w:r>
      <w:r w:rsidRPr="00780FF4">
        <w:rPr>
          <w:rFonts w:ascii="PermianSerifTypeface" w:hAnsi="PermianSerifTypeface" w:cs="Times New Roman"/>
          <w:b/>
          <w:lang w:val="ro-MD"/>
        </w:rPr>
        <w:t xml:space="preserve">ИЯ </w:t>
      </w:r>
      <w:r w:rsidR="0000257B" w:rsidRPr="00780FF4">
        <w:rPr>
          <w:rFonts w:ascii="PermianSerifTypeface" w:hAnsi="PermianSerifTypeface" w:cs="Times New Roman"/>
          <w:b/>
          <w:lang w:val="ru-RU"/>
        </w:rPr>
        <w:t>ПОДПАДАЮЩИХ ПОД ИСКЛЮЧЕНИЕ</w:t>
      </w:r>
      <w:r w:rsidRPr="00780FF4">
        <w:rPr>
          <w:rFonts w:ascii="PermianSerifTypeface" w:hAnsi="PermianSerifTypeface" w:cs="Times New Roman"/>
          <w:b/>
          <w:lang w:val="ru-RU"/>
        </w:rPr>
        <w:t xml:space="preserve"> </w:t>
      </w:r>
      <w:r w:rsidRPr="00780FF4">
        <w:rPr>
          <w:rFonts w:ascii="PermianSerifTypeface" w:hAnsi="PermianSerifTypeface" w:cs="Times New Roman"/>
          <w:b/>
          <w:lang w:val="ro-MD"/>
        </w:rPr>
        <w:t>ПЛАТЕЖНЫХ УСЛУГ</w:t>
      </w:r>
    </w:p>
    <w:p w14:paraId="666D78D2" w14:textId="5E6359D0" w:rsidR="00AF3F9A" w:rsidRPr="00780FF4" w:rsidRDefault="006E117C" w:rsidP="00687B6A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bookmarkStart w:id="7" w:name="_Ref136009830"/>
      <w:r w:rsidRPr="00780FF4">
        <w:rPr>
          <w:rFonts w:ascii="PermianSerifTypeface" w:hAnsi="PermianSerifTypeface" w:cs="Times New Roman"/>
          <w:bCs/>
          <w:lang w:val="ru-RU"/>
        </w:rPr>
        <w:t>Лица, осуществляющие любую деятельность, указанную в подп. а)  и/или  b)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</w:t>
      </w:r>
      <w:r w:rsidR="00106ADA" w:rsidRPr="00780FF4">
        <w:rPr>
          <w:rFonts w:ascii="PermianSerifTypeface" w:hAnsi="PermianSerifTypeface" w:cs="Times New Roman"/>
          <w:bCs/>
          <w:lang w:val="ru-RU"/>
        </w:rPr>
        <w:t xml:space="preserve">. 2 </w:t>
      </w:r>
      <w:r w:rsidRPr="00780FF4">
        <w:rPr>
          <w:rFonts w:ascii="PermianSerifTypeface" w:hAnsi="PermianSerifTypeface" w:cs="Times New Roman"/>
          <w:bCs/>
          <w:lang w:val="ru-RU"/>
        </w:rPr>
        <w:t>Закона №</w:t>
      </w:r>
      <w:r w:rsidR="007B6DD1" w:rsidRPr="00780FF4">
        <w:rPr>
          <w:rFonts w:ascii="PermianSerifTypeface" w:hAnsi="PermianSerifTypeface" w:cs="Times New Roman"/>
          <w:bCs/>
          <w:lang w:val="ru-RU"/>
        </w:rPr>
        <w:t>114/2012</w:t>
      </w:r>
      <w:r w:rsidRPr="00780FF4">
        <w:rPr>
          <w:rFonts w:ascii="PermianSerifTypeface" w:hAnsi="PermianSerifTypeface" w:cs="Times New Roman"/>
          <w:bCs/>
          <w:lang w:val="ru-RU"/>
        </w:rPr>
        <w:t>, передают в Национальный банк Молдовы уведомление в сроки и на условиях, предусмотренных частью (1) и (2) ст.</w:t>
      </w:r>
      <w:r w:rsidR="004114A5" w:rsidRPr="00780FF4">
        <w:rPr>
          <w:rFonts w:ascii="PermianSerifTypeface" w:hAnsi="PermianSerifTypeface" w:cs="Times New Roman"/>
          <w:bCs/>
          <w:lang w:val="ru-RU"/>
        </w:rPr>
        <w:t xml:space="preserve"> 2</w:t>
      </w:r>
      <w:r w:rsidR="004114A5" w:rsidRPr="00780FF4">
        <w:rPr>
          <w:rFonts w:ascii="PermianSerifTypeface" w:hAnsi="PermianSerifTypeface" w:cs="Times New Roman"/>
          <w:bCs/>
          <w:vertAlign w:val="superscript"/>
          <w:lang w:val="ru-RU"/>
        </w:rPr>
        <w:t xml:space="preserve">2 </w:t>
      </w:r>
      <w:r w:rsidR="004114A5" w:rsidRPr="00780FF4">
        <w:rPr>
          <w:rFonts w:ascii="PermianSerifTypeface" w:hAnsi="PermianSerifTypeface" w:cs="Times New Roman"/>
          <w:bCs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Закона №</w:t>
      </w:r>
      <w:r w:rsidR="004114A5" w:rsidRPr="00780FF4">
        <w:rPr>
          <w:rFonts w:ascii="PermianSerifTypeface" w:hAnsi="PermianSerifTypeface" w:cs="Times New Roman"/>
          <w:bCs/>
          <w:lang w:val="ru-RU"/>
        </w:rPr>
        <w:t xml:space="preserve"> 114/2012</w:t>
      </w:r>
      <w:r w:rsidR="007B6DD1" w:rsidRPr="00780FF4">
        <w:rPr>
          <w:rFonts w:ascii="PermianSerifTypeface" w:hAnsi="PermianSerifTypeface" w:cs="Times New Roman"/>
          <w:bCs/>
          <w:lang w:val="ru-RU"/>
        </w:rPr>
        <w:t>.</w:t>
      </w:r>
      <w:bookmarkEnd w:id="7"/>
    </w:p>
    <w:p w14:paraId="480A8F80" w14:textId="4FFE99D2" w:rsidR="006E117C" w:rsidRPr="00780FF4" w:rsidRDefault="006E117C" w:rsidP="00687B6A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Уведомление, предусмотренное пунктом 16, содержит данные об наименовании, месте нахождении/месте жительства лица и сопровождается следующими документами и сведениями:</w:t>
      </w:r>
    </w:p>
    <w:p w14:paraId="562F6654" w14:textId="6F7E679C" w:rsidR="00EE0781" w:rsidRPr="00780FF4" w:rsidRDefault="006E117C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lastRenderedPageBreak/>
        <w:t>подробное описание предлагаемых услуг</w:t>
      </w:r>
      <w:r w:rsidR="00F02FA2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286C32B3" w14:textId="7992E16D" w:rsidR="00EE0781" w:rsidRPr="00780FF4" w:rsidRDefault="006E117C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объем и сумма осуществленных платежных операций</w:t>
      </w:r>
      <w:r w:rsidR="00EE0781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640190FE" w14:textId="3640F8A8" w:rsidR="00EE0781" w:rsidRPr="00780FF4" w:rsidRDefault="006E117C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сумма, кредитованная в инструменты/устройства</w:t>
      </w:r>
      <w:r w:rsidR="00A85726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4ABA544E" w14:textId="0FF1E67F" w:rsidR="00EE0781" w:rsidRPr="00780FF4" w:rsidRDefault="006E117C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количество выпущенных инструментов</w:t>
      </w:r>
      <w:r w:rsidR="001D14FA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4E69ECEA" w14:textId="4011A3D4" w:rsidR="00EE0781" w:rsidRPr="00780FF4" w:rsidRDefault="006E117C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список поставщиков товаров и услуг, где использовался инструмент/устройство, в случае </w:t>
      </w:r>
      <w:r w:rsidR="00D538AA" w:rsidRPr="00780FF4">
        <w:rPr>
          <w:rFonts w:ascii="PermianSerifTypeface" w:hAnsi="PermianSerifTypeface" w:cs="Times New Roman"/>
          <w:bCs/>
          <w:lang w:val="ru-RU"/>
        </w:rPr>
        <w:t>видов деятельности</w:t>
      </w:r>
      <w:r w:rsidRPr="00780FF4">
        <w:rPr>
          <w:rFonts w:ascii="PermianSerifTypeface" w:hAnsi="PermianSerifTypeface" w:cs="Times New Roman"/>
          <w:bCs/>
          <w:lang w:val="ru-RU"/>
        </w:rPr>
        <w:t>, указанн</w:t>
      </w:r>
      <w:r w:rsidR="00D538AA" w:rsidRPr="00780FF4">
        <w:rPr>
          <w:rFonts w:ascii="PermianSerifTypeface" w:hAnsi="PermianSerifTypeface" w:cs="Times New Roman"/>
          <w:bCs/>
          <w:lang w:val="ru-RU"/>
        </w:rPr>
        <w:t>ых в подп. а)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="00D538AA"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</w:t>
      </w:r>
      <w:r w:rsidR="008E7C74" w:rsidRPr="00780FF4">
        <w:rPr>
          <w:rFonts w:ascii="PermianSerifTypeface" w:hAnsi="PermianSerifTypeface" w:cs="Times New Roman"/>
          <w:bCs/>
          <w:lang w:val="ru-RU"/>
        </w:rPr>
        <w:t xml:space="preserve">114/2012; </w:t>
      </w:r>
      <w:r w:rsidR="00D538AA" w:rsidRPr="00780FF4">
        <w:rPr>
          <w:rFonts w:ascii="PermianSerifTypeface" w:hAnsi="PermianSerifTypeface" w:cs="Times New Roman"/>
          <w:bCs/>
          <w:lang w:val="ru-RU"/>
        </w:rPr>
        <w:t>и/или</w:t>
      </w:r>
    </w:p>
    <w:p w14:paraId="4597C2A7" w14:textId="30BDBCAE" w:rsidR="00EE0781" w:rsidRPr="00780FF4" w:rsidRDefault="00D538A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ассортимент товаров и услуг, приобретенных с помощью инструмента/устройства, в случае видов деятельности, указанных в подп. b)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114/2012</w:t>
      </w:r>
      <w:r w:rsidR="00A2243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5C5EF779" w14:textId="3573470D" w:rsidR="00EE0781" w:rsidRPr="00780FF4" w:rsidRDefault="00D538A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прямое договорное соглашение о приеме платежных операций между эмитентом инструмента и каждым продавцом и/или поставщиком услуг в случае видов деятельности, указанных в подп. а)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114/2012</w:t>
      </w:r>
      <w:r w:rsidR="00A2243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4E8FF242" w14:textId="5D94BF9E" w:rsidR="00EE0781" w:rsidRPr="00780FF4" w:rsidRDefault="00D538A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количество продавцов и/или поставщиков услуг, осуществляющих деятельность в ограниченной сети</w:t>
      </w:r>
      <w:r w:rsidR="00A2243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704CB403" w14:textId="270F2420" w:rsidR="00EE0781" w:rsidRPr="00780FF4" w:rsidRDefault="00D538A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информация, согласно которой поставщик предоставляет товары и услуги под общей маркой, характеризующим ограниченную сеть и обеспечивающим виртуальное проявление для клиентов инструмента</w:t>
      </w:r>
      <w:r w:rsidR="00A2243F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3C236525" w14:textId="58A82280" w:rsidR="00AF67A4" w:rsidRPr="00780FF4" w:rsidRDefault="00D538A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 w:cs="Times New Roman"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описание рисков, с которыми столкнулись клиенты при использовании платежного инструмента</w:t>
      </w:r>
      <w:r w:rsidR="00A2243F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34B5A2A0" w14:textId="40553C29" w:rsidR="00F05F21" w:rsidRPr="00780FF4" w:rsidRDefault="000E0C43" w:rsidP="00687B6A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 w:cs="Times New Roman"/>
          <w:bCs/>
          <w:lang w:val="ro-RO"/>
        </w:rPr>
      </w:pPr>
      <w:bookmarkStart w:id="8" w:name="_Ref136009923"/>
      <w:r w:rsidRPr="00780FF4">
        <w:rPr>
          <w:rFonts w:ascii="PermianSerifTypeface" w:hAnsi="PermianSerifTypeface" w:cs="Times New Roman"/>
          <w:bCs/>
          <w:lang w:val="ru-RU"/>
        </w:rPr>
        <w:t xml:space="preserve">Уведомление, сопровождаемое документами и информацией, указанными в пункте 17, представляются подписанными </w:t>
      </w:r>
      <w:r w:rsidR="00BA722E" w:rsidRPr="00780FF4">
        <w:rPr>
          <w:rFonts w:ascii="PermianSerifTypeface" w:hAnsi="PermianSerifTypeface" w:cs="Times New Roman"/>
          <w:bCs/>
          <w:lang w:val="ru-RU"/>
        </w:rPr>
        <w:t>органом управления/членом органа управления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или уполномоченным лицом на бумажном носителе в местонахождении Национального банка Молдовы или в электронной форме с применением квалифицированной электронной подписи в соответствии с Закон об электронной идентификации и доверительных  услугах № 124/2022 по адресу: </w:t>
      </w:r>
      <w:hyperlink r:id="rId12" w:history="1">
        <w:r w:rsidRPr="00780FF4">
          <w:rPr>
            <w:rStyle w:val="Hyperlink"/>
            <w:rFonts w:ascii="PermianSerifTypeface" w:hAnsi="PermianSerifTypeface" w:cs="Times New Roman"/>
            <w:bCs/>
            <w:lang w:val="ro-RO"/>
          </w:rPr>
          <w:t>reglementare.psp@bnm.md</w:t>
        </w:r>
      </w:hyperlink>
      <w:r w:rsidRPr="00780FF4">
        <w:rPr>
          <w:rStyle w:val="Hyperlink"/>
          <w:rFonts w:ascii="PermianSerifTypeface" w:hAnsi="PermianSerifTypeface" w:cs="Times New Roman"/>
          <w:bCs/>
          <w:u w:val="none"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или по другим электронным каналам в соответствии с нормативными актами Национального банка Молдовы</w:t>
      </w:r>
      <w:r w:rsidR="00F05F21" w:rsidRPr="00780FF4">
        <w:rPr>
          <w:rFonts w:ascii="PermianSerifTypeface" w:hAnsi="PermianSerifTypeface" w:cs="Times New Roman"/>
          <w:bCs/>
          <w:lang w:val="ro-RO"/>
        </w:rPr>
        <w:t>.</w:t>
      </w:r>
    </w:p>
    <w:p w14:paraId="22F68EDF" w14:textId="64C84585" w:rsidR="00106ADA" w:rsidRPr="00780FF4" w:rsidRDefault="00E44F5F" w:rsidP="00687B6A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bookmarkStart w:id="9" w:name="_Ref136010034"/>
      <w:bookmarkEnd w:id="8"/>
      <w:r w:rsidRPr="00780FF4">
        <w:rPr>
          <w:rFonts w:ascii="PermianSerifTypeface" w:hAnsi="PermianSerifTypeface" w:cs="Times New Roman"/>
          <w:bCs/>
          <w:lang w:val="ru-RU"/>
        </w:rPr>
        <w:t>Национальный банк Молдовы рассматривает уведомление, предусмотренное пунктом 16, в порядке, предусмотренном частью (3) и (4) ст</w:t>
      </w:r>
      <w:r w:rsidR="0017288C" w:rsidRPr="00780FF4">
        <w:rPr>
          <w:rFonts w:ascii="PermianSerifTypeface" w:hAnsi="PermianSerifTypeface" w:cs="Times New Roman"/>
          <w:bCs/>
          <w:lang w:val="ru-RU"/>
        </w:rPr>
        <w:t>. 2</w:t>
      </w:r>
      <w:r w:rsidR="0017288C" w:rsidRPr="00780FF4">
        <w:rPr>
          <w:rFonts w:ascii="PermianSerifTypeface" w:hAnsi="PermianSerifTypeface" w:cs="Times New Roman"/>
          <w:bCs/>
          <w:vertAlign w:val="superscript"/>
          <w:lang w:val="ru-RU"/>
        </w:rPr>
        <w:t>2</w:t>
      </w:r>
      <w:r w:rsidR="0017288C" w:rsidRPr="00780FF4">
        <w:rPr>
          <w:rFonts w:ascii="PermianSerifTypeface" w:hAnsi="PermianSerifTypeface" w:cs="Times New Roman"/>
          <w:bCs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Закона №</w:t>
      </w:r>
      <w:r w:rsidR="0017288C" w:rsidRPr="00780FF4">
        <w:rPr>
          <w:rFonts w:ascii="PermianSerifTypeface" w:hAnsi="PermianSerifTypeface" w:cs="Times New Roman"/>
          <w:bCs/>
          <w:lang w:val="ru-RU"/>
        </w:rPr>
        <w:t xml:space="preserve"> 114/2012</w:t>
      </w:r>
      <w:r w:rsidR="00106ADA" w:rsidRPr="00780FF4">
        <w:rPr>
          <w:rFonts w:ascii="PermianSerifTypeface" w:hAnsi="PermianSerifTypeface" w:cs="Times New Roman"/>
          <w:bCs/>
          <w:lang w:val="ru-RU"/>
        </w:rPr>
        <w:t>.</w:t>
      </w:r>
      <w:bookmarkEnd w:id="9"/>
    </w:p>
    <w:p w14:paraId="34173482" w14:textId="71BE3852" w:rsidR="008F1149" w:rsidRPr="00780FF4" w:rsidRDefault="00E44F5F" w:rsidP="00687B6A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o-MD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Лица, не соблюдающие требования, указанные в пунктах </w:t>
      </w:r>
      <w:r w:rsidR="0093678A" w:rsidRPr="00780FF4">
        <w:rPr>
          <w:rFonts w:ascii="PermianSerifTypeface" w:hAnsi="PermianSerifTypeface" w:cs="Times New Roman"/>
          <w:bCs/>
          <w:lang w:val="ro-MD"/>
        </w:rPr>
        <w:t>3</w:t>
      </w:r>
      <w:r w:rsidR="008F1149" w:rsidRPr="00780FF4">
        <w:rPr>
          <w:rFonts w:ascii="PermianSerifTypeface" w:hAnsi="PermianSerifTypeface" w:cs="Times New Roman"/>
          <w:bCs/>
          <w:lang w:val="ro-MD"/>
        </w:rPr>
        <w:t xml:space="preserve">, </w:t>
      </w:r>
      <w:r w:rsidR="0093678A" w:rsidRPr="00780FF4">
        <w:rPr>
          <w:rFonts w:ascii="PermianSerifTypeface" w:hAnsi="PermianSerifTypeface" w:cs="Times New Roman"/>
          <w:bCs/>
          <w:lang w:val="ro-MD"/>
        </w:rPr>
        <w:t>10</w:t>
      </w:r>
      <w:r w:rsidR="008F1149" w:rsidRPr="00780FF4">
        <w:rPr>
          <w:rFonts w:ascii="PermianSerifTypeface" w:hAnsi="PermianSerifTypeface" w:cs="Times New Roman"/>
          <w:bCs/>
          <w:lang w:val="ro-MD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и</w:t>
      </w:r>
      <w:r w:rsidR="004D6973">
        <w:rPr>
          <w:rFonts w:ascii="PermianSerifTypeface" w:hAnsi="PermianSerifTypeface" w:cs="Times New Roman"/>
          <w:bCs/>
        </w:rPr>
        <w:t xml:space="preserve"> 16</w:t>
      </w:r>
      <w:r w:rsidRPr="00780FF4">
        <w:rPr>
          <w:rFonts w:ascii="PermianSerifTypeface" w:hAnsi="PermianSerifTypeface" w:cs="Times New Roman"/>
          <w:bCs/>
          <w:lang w:val="ru-RU"/>
        </w:rPr>
        <w:t>, нес</w:t>
      </w:r>
      <w:r w:rsidR="00787B08" w:rsidRPr="00780FF4">
        <w:rPr>
          <w:rFonts w:ascii="PermianSerifTypeface" w:hAnsi="PermianSerifTypeface" w:cs="Times New Roman"/>
          <w:bCs/>
          <w:lang w:val="ru-RU"/>
        </w:rPr>
        <w:t>у</w:t>
      </w:r>
      <w:r w:rsidRPr="00780FF4">
        <w:rPr>
          <w:rFonts w:ascii="PermianSerifTypeface" w:hAnsi="PermianSerifTypeface" w:cs="Times New Roman"/>
          <w:bCs/>
          <w:lang w:val="ru-RU"/>
        </w:rPr>
        <w:t>т ответственность за правонарушение в соответствии с частью (5) ст</w:t>
      </w:r>
      <w:r w:rsidR="00A85726" w:rsidRPr="00780FF4">
        <w:rPr>
          <w:rFonts w:ascii="PermianSerifTypeface" w:hAnsi="PermianSerifTypeface" w:cs="Times New Roman"/>
          <w:bCs/>
          <w:lang w:val="ru-RU"/>
        </w:rPr>
        <w:t>. 2</w:t>
      </w:r>
      <w:r w:rsidR="00A85726" w:rsidRPr="00780FF4">
        <w:rPr>
          <w:rFonts w:ascii="PermianSerifTypeface" w:hAnsi="PermianSerifTypeface" w:cs="Times New Roman"/>
          <w:bCs/>
          <w:vertAlign w:val="superscript"/>
          <w:lang w:val="ru-RU"/>
        </w:rPr>
        <w:t>1</w:t>
      </w:r>
      <w:r w:rsidR="00A85726" w:rsidRPr="00780FF4">
        <w:rPr>
          <w:rFonts w:ascii="PermianSerifTypeface" w:hAnsi="PermianSerifTypeface" w:cs="Times New Roman"/>
          <w:bCs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и ст</w:t>
      </w:r>
      <w:r w:rsidR="008F1149" w:rsidRPr="00780FF4">
        <w:rPr>
          <w:rFonts w:ascii="PermianSerifTypeface" w:hAnsi="PermianSerifTypeface" w:cs="Times New Roman"/>
          <w:bCs/>
          <w:lang w:val="ru-RU"/>
        </w:rPr>
        <w:t>. 2</w:t>
      </w:r>
      <w:r w:rsidR="008F1149" w:rsidRPr="00780FF4">
        <w:rPr>
          <w:rFonts w:ascii="PermianSerifTypeface" w:hAnsi="PermianSerifTypeface" w:cs="Times New Roman"/>
          <w:bCs/>
          <w:vertAlign w:val="superscript"/>
          <w:lang w:val="ru-RU"/>
        </w:rPr>
        <w:t>4</w:t>
      </w:r>
      <w:r w:rsidR="008F1149" w:rsidRPr="00780FF4">
        <w:rPr>
          <w:rFonts w:ascii="PermianSerifTypeface" w:hAnsi="PermianSerifTypeface" w:cs="Times New Roman"/>
          <w:bCs/>
          <w:lang w:val="ru-RU"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Закона №</w:t>
      </w:r>
      <w:r w:rsidR="008F1149" w:rsidRPr="00780FF4">
        <w:rPr>
          <w:rFonts w:ascii="PermianSerifTypeface" w:hAnsi="PermianSerifTypeface" w:cs="Times New Roman"/>
          <w:bCs/>
          <w:lang w:val="ro-MD"/>
        </w:rPr>
        <w:t xml:space="preserve"> 114/2012.</w:t>
      </w:r>
    </w:p>
    <w:p w14:paraId="506FB519" w14:textId="4E35B5C1" w:rsidR="0000257B" w:rsidRPr="00780FF4" w:rsidRDefault="0000257B" w:rsidP="00687B6A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bookmarkStart w:id="10" w:name="_Ref136010289"/>
      <w:r w:rsidRPr="00780FF4">
        <w:rPr>
          <w:rFonts w:ascii="PermianSerifTypeface" w:hAnsi="PermianSerifTypeface" w:cs="Times New Roman"/>
          <w:bCs/>
          <w:lang w:val="ru-RU"/>
        </w:rPr>
        <w:t>Уведомление, предусмотренное пунктами 3, 10 и 16, представляется субъектом только один раз. Новое уведомление должно быть подано в Национальный банк Молдовы, если вся информация, относящаяся к тому же конкретному платежному инструменту, указанная в первоначальном уведомлении, существенно изменилась, например:</w:t>
      </w:r>
    </w:p>
    <w:bookmarkEnd w:id="10"/>
    <w:p w14:paraId="4BD3DB20" w14:textId="7EFBFDA2" w:rsidR="000E50E5" w:rsidRPr="00780FF4" w:rsidRDefault="0000257B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оказание </w:t>
      </w:r>
      <w:r w:rsidR="00787B08" w:rsidRPr="00780FF4">
        <w:rPr>
          <w:rFonts w:ascii="PermianSerifTypeface" w:hAnsi="PermianSerifTypeface" w:cs="Times New Roman"/>
          <w:bCs/>
          <w:lang w:val="ru-RU"/>
        </w:rPr>
        <w:t xml:space="preserve">подпадающих под </w:t>
      </w:r>
      <w:r w:rsidRPr="00780FF4">
        <w:rPr>
          <w:rFonts w:ascii="PermianSerifTypeface" w:hAnsi="PermianSerifTypeface" w:cs="Times New Roman"/>
          <w:bCs/>
          <w:lang w:val="ru-RU"/>
        </w:rPr>
        <w:t>исключен</w:t>
      </w:r>
      <w:r w:rsidR="00787B08" w:rsidRPr="00780FF4">
        <w:rPr>
          <w:rFonts w:ascii="PermianSerifTypeface" w:hAnsi="PermianSerifTypeface" w:cs="Times New Roman"/>
          <w:bCs/>
          <w:lang w:val="ru-RU"/>
        </w:rPr>
        <w:t>ие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услуг прекращено</w:t>
      </w:r>
      <w:r w:rsidR="000E50E5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75CBF9B1" w14:textId="60C4CD25" w:rsidR="0000257B" w:rsidRPr="00780FF4" w:rsidRDefault="0000257B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эмитент намерен увеличить количество поставщиков товаров и/или услуг, предусмотренных подпунктом 6) пункта 4;</w:t>
      </w:r>
    </w:p>
    <w:p w14:paraId="0CD8A38B" w14:textId="70C8E50C" w:rsidR="00C4418B" w:rsidRPr="00780FF4" w:rsidRDefault="0000257B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эмитент намерен оказывать услуги согласно подп. а) </w:t>
      </w:r>
      <w:r w:rsidR="00044957" w:rsidRPr="00780FF4">
        <w:rPr>
          <w:rFonts w:ascii="PermianSerifTypeface" w:hAnsi="PermianSerifTypeface" w:cs="Times New Roman"/>
          <w:bCs/>
          <w:lang w:val="ru-RU"/>
        </w:rPr>
        <w:t>или b</w:t>
      </w:r>
      <w:r w:rsidRPr="00780FF4">
        <w:rPr>
          <w:rFonts w:ascii="PermianSerifTypeface" w:hAnsi="PermianSerifTypeface" w:cs="Times New Roman"/>
          <w:bCs/>
          <w:lang w:val="ru-RU"/>
        </w:rPr>
        <w:t>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№. 114/2012 на основании документа, который не является предметом первоначального уведомления</w:t>
      </w:r>
      <w:r w:rsidR="00C4418B" w:rsidRPr="00780FF4">
        <w:rPr>
          <w:rFonts w:ascii="PermianSerifTypeface" w:hAnsi="PermianSerifTypeface" w:cs="Times New Roman"/>
          <w:bCs/>
          <w:lang w:val="ru-RU"/>
        </w:rPr>
        <w:t>;</w:t>
      </w:r>
    </w:p>
    <w:p w14:paraId="6EFF8E76" w14:textId="4AD6941E" w:rsidR="00C4418B" w:rsidRPr="00780FF4" w:rsidRDefault="0000257B" w:rsidP="00707C75">
      <w:pPr>
        <w:pStyle w:val="ListParagraph"/>
        <w:numPr>
          <w:ilvl w:val="0"/>
          <w:numId w:val="8"/>
        </w:numPr>
        <w:tabs>
          <w:tab w:val="left" w:pos="993"/>
          <w:tab w:val="left" w:pos="1276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конкретная категория товаров и/или услуг, которые служат общей цели, ранее заявленной в соответствии с пунктом 11, должна быть изменена</w:t>
      </w:r>
      <w:r w:rsidR="00874A54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40EB4A12" w14:textId="246AB5C4" w:rsidR="00B00AF6" w:rsidRPr="00780FF4" w:rsidRDefault="00044957" w:rsidP="00687B6A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Без ущерба для положений пункта 21 Национальный банк Молдовы может потребовать от лица представления нового уведомления с обновленными данными, если он считает это необходимым для установления того, является ли информация, </w:t>
      </w:r>
      <w:r w:rsidRPr="00780FF4">
        <w:rPr>
          <w:rFonts w:ascii="PermianSerifTypeface" w:hAnsi="PermianSerifTypeface" w:cs="Times New Roman"/>
          <w:bCs/>
          <w:lang w:val="ru-RU"/>
        </w:rPr>
        <w:lastRenderedPageBreak/>
        <w:t>которую субъект однажды предоставил</w:t>
      </w:r>
      <w:r w:rsidR="00AD5E91">
        <w:rPr>
          <w:rFonts w:ascii="PermianSerifTypeface" w:hAnsi="PermianSerifTypeface" w:cs="Times New Roman"/>
          <w:bCs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с</w:t>
      </w:r>
      <w:r w:rsidR="00AD5E91">
        <w:rPr>
          <w:rFonts w:ascii="PermianSerifTypeface" w:hAnsi="PermianSerifTypeface" w:cs="Times New Roman"/>
          <w:bCs/>
        </w:rPr>
        <w:t xml:space="preserve"> </w:t>
      </w:r>
      <w:r w:rsidRPr="00780FF4">
        <w:rPr>
          <w:rFonts w:ascii="PermianSerifTypeface" w:hAnsi="PermianSerifTypeface" w:cs="Times New Roman"/>
          <w:bCs/>
          <w:lang w:val="ru-RU"/>
        </w:rPr>
        <w:t>первоначальным уведомлением, изменилось или нет</w:t>
      </w:r>
      <w:r w:rsidR="00B00AF6" w:rsidRPr="00780FF4">
        <w:rPr>
          <w:rFonts w:ascii="PermianSerifTypeface" w:hAnsi="PermianSerifTypeface" w:cs="Times New Roman"/>
          <w:bCs/>
          <w:lang w:val="ru-RU"/>
        </w:rPr>
        <w:t>.</w:t>
      </w:r>
    </w:p>
    <w:p w14:paraId="277A34FB" w14:textId="77777777" w:rsidR="002D724F" w:rsidRPr="00780FF4" w:rsidRDefault="002D724F" w:rsidP="007E741C">
      <w:pPr>
        <w:pStyle w:val="ListParagraph"/>
        <w:spacing w:before="120" w:after="120" w:line="240" w:lineRule="auto"/>
        <w:ind w:left="0" w:firstLine="425"/>
        <w:jc w:val="center"/>
        <w:rPr>
          <w:rFonts w:ascii="PermianSerifTypeface" w:hAnsi="PermianSerifTypeface" w:cs="Times New Roman"/>
          <w:b/>
          <w:lang w:val="ro-RO"/>
        </w:rPr>
      </w:pPr>
    </w:p>
    <w:p w14:paraId="1129B76D" w14:textId="2052BC78" w:rsidR="0072161E" w:rsidRPr="00780FF4" w:rsidRDefault="00044957" w:rsidP="007E741C">
      <w:pPr>
        <w:pStyle w:val="ListParagraph"/>
        <w:spacing w:before="120" w:after="120" w:line="240" w:lineRule="auto"/>
        <w:ind w:left="0" w:firstLine="425"/>
        <w:jc w:val="center"/>
        <w:rPr>
          <w:rFonts w:ascii="PermianSerifTypeface" w:hAnsi="PermianSerifTypeface" w:cs="Times New Roman"/>
          <w:b/>
          <w:lang w:val="ro-RO"/>
        </w:rPr>
      </w:pPr>
      <w:r w:rsidRPr="00780FF4">
        <w:rPr>
          <w:rFonts w:ascii="PermianSerifTypeface" w:hAnsi="PermianSerifTypeface" w:cs="Times New Roman"/>
          <w:b/>
          <w:lang w:val="ru-RU"/>
        </w:rPr>
        <w:t>Глава</w:t>
      </w:r>
      <w:r w:rsidR="0072161E" w:rsidRPr="00780FF4">
        <w:rPr>
          <w:rFonts w:ascii="PermianSerifTypeface" w:hAnsi="PermianSerifTypeface" w:cs="Times New Roman"/>
          <w:b/>
          <w:lang w:val="ro-RO"/>
        </w:rPr>
        <w:t xml:space="preserve"> I</w:t>
      </w:r>
      <w:r w:rsidR="008F0C50" w:rsidRPr="00780FF4">
        <w:rPr>
          <w:rFonts w:ascii="PermianSerifTypeface" w:hAnsi="PermianSerifTypeface" w:cs="Times New Roman"/>
          <w:b/>
          <w:lang w:val="ro-RO"/>
        </w:rPr>
        <w:t>V</w:t>
      </w:r>
    </w:p>
    <w:p w14:paraId="0F85584D" w14:textId="3C145796" w:rsidR="00044957" w:rsidRPr="00780FF4" w:rsidRDefault="00044957" w:rsidP="00707C75">
      <w:pPr>
        <w:spacing w:after="120" w:line="240" w:lineRule="auto"/>
        <w:ind w:firstLine="426"/>
        <w:jc w:val="center"/>
        <w:rPr>
          <w:rFonts w:ascii="PermianSerifTypeface" w:hAnsi="PermianSerifTypeface" w:cs="Times New Roman"/>
          <w:b/>
          <w:lang w:val="ro-MD"/>
        </w:rPr>
      </w:pPr>
      <w:r w:rsidRPr="00780FF4">
        <w:rPr>
          <w:rFonts w:ascii="PermianSerifTypeface" w:hAnsi="PermianSerifTypeface" w:cs="Times New Roman"/>
          <w:b/>
          <w:lang w:val="ro-MD"/>
        </w:rPr>
        <w:t>ПРЕДОСТАВЛЕНИЕ ПОДПАДАЮЩИХ ПОД ИСКЛЮЧЕНИЕ УСЛУГ, ЛИЦЕНЗИРОВАННЫХ НАЦИОНАЛЬНЫМ БАНКОМ МОЛДОВЫ В СООТВЕТСТВИИ С ЗАКОНОМ № 114/2012</w:t>
      </w:r>
    </w:p>
    <w:p w14:paraId="7A7C776B" w14:textId="6A5C9D19" w:rsidR="00781386" w:rsidRPr="00780FF4" w:rsidRDefault="00D854F7" w:rsidP="00687B6A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o-MD"/>
        </w:rPr>
      </w:pPr>
      <w:bookmarkStart w:id="11" w:name="_Ref136010310"/>
      <w:r w:rsidRPr="00780FF4">
        <w:rPr>
          <w:rFonts w:ascii="PermianSerifTypeface" w:hAnsi="PermianSerifTypeface" w:cs="Times New Roman"/>
          <w:bCs/>
          <w:lang w:val="ru-RU"/>
        </w:rPr>
        <w:t>Поставщики платежных услуг и общества, выпускающие электронные деньги, могут предоставлять услуги на основе конкретных платежных инструментов, которые будут использоваться лишь ограниченно, при условии соблюдения требований, предусмотренных подп. а) и/или b)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№. 114/2012 и настоящим регламентом</w:t>
      </w:r>
      <w:r w:rsidR="00781386" w:rsidRPr="00780FF4">
        <w:rPr>
          <w:rFonts w:ascii="PermianSerifTypeface" w:hAnsi="PermianSerifTypeface" w:cs="Times New Roman"/>
          <w:bCs/>
          <w:lang w:val="ro-MD"/>
        </w:rPr>
        <w:t>.</w:t>
      </w:r>
      <w:bookmarkEnd w:id="11"/>
      <w:r w:rsidR="00485426" w:rsidRPr="00780FF4">
        <w:rPr>
          <w:rFonts w:ascii="PermianSerifTypeface" w:hAnsi="PermianSerifTypeface" w:cs="Times New Roman"/>
          <w:bCs/>
          <w:lang w:val="ro-MD"/>
        </w:rPr>
        <w:t xml:space="preserve"> </w:t>
      </w:r>
    </w:p>
    <w:p w14:paraId="070B2497" w14:textId="0BC3CC24" w:rsidR="00D854F7" w:rsidRPr="00780FF4" w:rsidRDefault="00D854F7" w:rsidP="00687B6A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bookmarkStart w:id="12" w:name="_Ref136010432"/>
      <w:r w:rsidRPr="00780FF4">
        <w:rPr>
          <w:rFonts w:ascii="PermianSerifTypeface" w:hAnsi="PermianSerifTypeface" w:cs="Times New Roman"/>
          <w:bCs/>
          <w:lang w:val="ru-RU"/>
        </w:rPr>
        <w:t>В случае, предусмотренном пунктом 23, поставщики платежных услуг и общества, выпускающие электронные деньги, в доступной для понимания форме, в четкой форме, проводят различие между платежными услугами/деятельностью, которая касается электронных денег, и подпадающими под исключение услугами  в соответствии подп. а) и/или b)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114/2012, в том числе путем предоставления конкретного визуального проявления.</w:t>
      </w:r>
    </w:p>
    <w:bookmarkEnd w:id="12"/>
    <w:p w14:paraId="1B2C0A71" w14:textId="71A7EBE9" w:rsidR="00D854F7" w:rsidRPr="00780FF4" w:rsidRDefault="00D854F7" w:rsidP="00687B6A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 xml:space="preserve">Поставщики платежных услуг и </w:t>
      </w:r>
      <w:r w:rsidR="003C5D6E" w:rsidRPr="00780FF4">
        <w:rPr>
          <w:rFonts w:ascii="PermianSerifTypeface" w:hAnsi="PermianSerifTypeface" w:cs="Times New Roman"/>
          <w:bCs/>
          <w:lang w:val="ru-RU"/>
        </w:rPr>
        <w:t>общества</w:t>
      </w:r>
      <w:r w:rsidRPr="00780FF4">
        <w:rPr>
          <w:rFonts w:ascii="PermianSerifTypeface" w:hAnsi="PermianSerifTypeface" w:cs="Times New Roman"/>
          <w:bCs/>
          <w:lang w:val="ru-RU"/>
        </w:rPr>
        <w:t>, выпускающие электронные деньги, информируют пользователя конкретного инструмента/устройства в понятной и ясной форме о том, что подпадающие под исключение услуги предоставляются в соответствии подп. а) и/или b) п.11</w:t>
      </w:r>
      <w:r w:rsidR="008329E1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 114/2012, не регулируются и не контролируются Национальным банком Молдовы, и что пользователи не пользуются защитой, предоставляемой пользователям платежных услуг в соответствии с Законом № 114/2012. </w:t>
      </w:r>
    </w:p>
    <w:p w14:paraId="0BB82249" w14:textId="081E745C" w:rsidR="003C5D6E" w:rsidRPr="00780FF4" w:rsidRDefault="003C5D6E" w:rsidP="00687B6A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Небанковские поставщики платежных услуг и общества, выпускающие электронные деньги,  уведомляют Национальный банк Молдовы до начала деятельности по предоставлению подпадающих под исключение услуг, предусмотренных подп. а) и/или b) п.11</w:t>
      </w:r>
      <w:r w:rsidR="00345592" w:rsidRPr="00780FF4">
        <w:rPr>
          <w:rFonts w:ascii="PermianSerifTypeface" w:hAnsi="PermianSerifTypeface" w:cs="Times New Roman"/>
          <w:bCs/>
          <w:lang w:val="ro-RO"/>
        </w:rPr>
        <w:t>)</w:t>
      </w:r>
      <w:r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  114/2012, а также после начала этих видов деятельности с соблюдением положений Главы II и Главы III.</w:t>
      </w:r>
    </w:p>
    <w:p w14:paraId="0D40D5A6" w14:textId="72B5E894" w:rsidR="00781386" w:rsidRPr="00780FF4" w:rsidRDefault="003C5D6E" w:rsidP="00687B6A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Национальный банк Молдовы применяет меры надзора, предусмотренные ст. 97 Закона № 114/2012, если в ходе оценки уведомления, упомянутого в пункте 26, считает, что</w:t>
      </w:r>
      <w:r w:rsidR="00781386" w:rsidRPr="00780FF4">
        <w:rPr>
          <w:rFonts w:ascii="PermianSerifTypeface" w:hAnsi="PermianSerifTypeface" w:cs="Times New Roman"/>
          <w:bCs/>
          <w:lang w:val="ru-RU"/>
        </w:rPr>
        <w:t>:</w:t>
      </w:r>
    </w:p>
    <w:p w14:paraId="12DD51C9" w14:textId="21DDDB7D" w:rsidR="009403A9" w:rsidRPr="00780FF4" w:rsidRDefault="00D6780E" w:rsidP="00707C75">
      <w:pPr>
        <w:pStyle w:val="ListParagraph"/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u-RU"/>
        </w:rPr>
      </w:pPr>
      <w:r w:rsidRPr="00780FF4">
        <w:rPr>
          <w:rFonts w:ascii="PermianSerifTypeface" w:hAnsi="PermianSerifTypeface" w:cs="Times New Roman"/>
          <w:bCs/>
          <w:lang w:val="ru-RU"/>
        </w:rPr>
        <w:t>1</w:t>
      </w:r>
      <w:r w:rsidR="00781386" w:rsidRPr="00780FF4">
        <w:rPr>
          <w:rFonts w:ascii="PermianSerifTypeface" w:hAnsi="PermianSerifTypeface" w:cs="Times New Roman"/>
          <w:bCs/>
          <w:lang w:val="ru-RU"/>
        </w:rPr>
        <w:t xml:space="preserve">) </w:t>
      </w:r>
      <w:r w:rsidR="009403A9" w:rsidRPr="00780FF4">
        <w:rPr>
          <w:rFonts w:ascii="PermianSerifTypeface" w:hAnsi="PermianSerifTypeface" w:cs="Times New Roman"/>
          <w:bCs/>
          <w:lang w:val="ru-RU"/>
        </w:rPr>
        <w:t>различие между платежными услугами и/или деятельностью, касающееся</w:t>
      </w:r>
      <w:r w:rsidR="009403A9" w:rsidRPr="00780FF4">
        <w:rPr>
          <w:rFonts w:ascii="PermianSerifTypeface" w:hAnsi="PermianSerifTypeface" w:cs="Times New Roman"/>
          <w:bCs/>
          <w:lang w:val="ro-MD"/>
        </w:rPr>
        <w:t xml:space="preserve"> </w:t>
      </w:r>
      <w:r w:rsidR="009403A9" w:rsidRPr="00780FF4">
        <w:rPr>
          <w:rFonts w:ascii="PermianSerifTypeface" w:hAnsi="PermianSerifTypeface" w:cs="Times New Roman"/>
          <w:bCs/>
          <w:lang w:val="ru-RU"/>
        </w:rPr>
        <w:t>регулируемых  электронных денег  и подпадающими под исключение услуг  согласно подп. а) и/или b) п.11</w:t>
      </w:r>
      <w:r w:rsidR="00345592" w:rsidRPr="00780FF4">
        <w:rPr>
          <w:rFonts w:ascii="PermianSerifTypeface" w:hAnsi="PermianSerifTypeface" w:cs="Times New Roman"/>
          <w:bCs/>
          <w:lang w:val="ro-RO"/>
        </w:rPr>
        <w:t>)</w:t>
      </w:r>
      <w:r w:rsidR="009403A9"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 114/2012 не осуществляется прозрачно, в доступных терминах, в ясной форме в случае пользователей конкретных платежных инструментов, предусмотренных пунктами 24 и 25 и/или</w:t>
      </w:r>
    </w:p>
    <w:p w14:paraId="7376A89A" w14:textId="7E15DE04" w:rsidR="009403A9" w:rsidRPr="00780FF4" w:rsidRDefault="00D6780E" w:rsidP="009403A9">
      <w:pPr>
        <w:pStyle w:val="ListParagraph"/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 w:cs="Times New Roman"/>
          <w:bCs/>
          <w:lang w:val="ro-MD"/>
        </w:rPr>
      </w:pPr>
      <w:r w:rsidRPr="00780FF4">
        <w:rPr>
          <w:rFonts w:ascii="PermianSerifTypeface" w:hAnsi="PermianSerifTypeface" w:cs="Times New Roman"/>
          <w:bCs/>
          <w:lang w:val="ro-MD"/>
        </w:rPr>
        <w:t>2</w:t>
      </w:r>
      <w:r w:rsidR="00781386" w:rsidRPr="00780FF4">
        <w:rPr>
          <w:rFonts w:ascii="PermianSerifTypeface" w:hAnsi="PermianSerifTypeface" w:cs="Times New Roman"/>
          <w:bCs/>
          <w:lang w:val="ro-MD"/>
        </w:rPr>
        <w:t xml:space="preserve">) </w:t>
      </w:r>
      <w:r w:rsidR="009403A9" w:rsidRPr="00780FF4">
        <w:rPr>
          <w:rFonts w:ascii="PermianSerifTypeface" w:hAnsi="PermianSerifTypeface" w:cs="Times New Roman"/>
          <w:bCs/>
          <w:lang w:val="ru-RU"/>
        </w:rPr>
        <w:t>подпадающие под исключение услуги  согласно подп. а) и/или b) п.11</w:t>
      </w:r>
      <w:r w:rsidR="00345592" w:rsidRPr="00780FF4">
        <w:rPr>
          <w:rFonts w:ascii="PermianSerifTypeface" w:hAnsi="PermianSerifTypeface" w:cs="Times New Roman"/>
          <w:bCs/>
          <w:lang w:val="ro-RO"/>
        </w:rPr>
        <w:t>)</w:t>
      </w:r>
      <w:r w:rsidR="009403A9" w:rsidRPr="00780FF4">
        <w:rPr>
          <w:rFonts w:ascii="PermianSerifTypeface" w:hAnsi="PermianSerifTypeface" w:cs="Times New Roman"/>
          <w:bCs/>
          <w:lang w:val="ru-RU"/>
        </w:rPr>
        <w:t xml:space="preserve"> части (2) ст. 2 Закона № 114/2012 мо</w:t>
      </w:r>
      <w:r w:rsidR="00787B08" w:rsidRPr="00780FF4">
        <w:rPr>
          <w:rFonts w:ascii="PermianSerifTypeface" w:hAnsi="PermianSerifTypeface" w:cs="Times New Roman"/>
          <w:bCs/>
          <w:lang w:val="ru-RU"/>
        </w:rPr>
        <w:t>гут</w:t>
      </w:r>
      <w:r w:rsidR="009403A9" w:rsidRPr="00780FF4">
        <w:rPr>
          <w:rFonts w:ascii="PermianSerifTypeface" w:hAnsi="PermianSerifTypeface" w:cs="Times New Roman"/>
          <w:bCs/>
          <w:lang w:val="ru-RU"/>
        </w:rPr>
        <w:t xml:space="preserve"> повлиять либо на финансовую устойчивость поставщика платежных услуг/эмитента электронных денег, либо на способность Национального банка Молдовы контролировать соблюдение </w:t>
      </w:r>
      <w:r w:rsidR="006A4FC1" w:rsidRPr="00780FF4">
        <w:rPr>
          <w:rFonts w:ascii="PermianSerifTypeface" w:hAnsi="PermianSerifTypeface" w:cs="Times New Roman"/>
          <w:bCs/>
          <w:lang w:val="ru-RU"/>
        </w:rPr>
        <w:t>правовых</w:t>
      </w:r>
      <w:r w:rsidR="009403A9" w:rsidRPr="00780FF4">
        <w:rPr>
          <w:rFonts w:ascii="PermianSerifTypeface" w:hAnsi="PermianSerifTypeface" w:cs="Times New Roman"/>
          <w:bCs/>
          <w:lang w:val="ru-RU"/>
        </w:rPr>
        <w:t xml:space="preserve"> требований Закона № 114/2012. </w:t>
      </w:r>
    </w:p>
    <w:sectPr w:rsidR="009403A9" w:rsidRPr="00780FF4" w:rsidSect="00D63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84FDD" w14:textId="77777777" w:rsidR="008F4ABF" w:rsidRDefault="008F4ABF" w:rsidP="002B421D">
      <w:pPr>
        <w:spacing w:after="0" w:line="240" w:lineRule="auto"/>
      </w:pPr>
      <w:r>
        <w:separator/>
      </w:r>
    </w:p>
  </w:endnote>
  <w:endnote w:type="continuationSeparator" w:id="0">
    <w:p w14:paraId="408AA0BC" w14:textId="77777777" w:rsidR="008F4ABF" w:rsidRDefault="008F4ABF" w:rsidP="002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E3E6" w14:textId="33DD53CF" w:rsidR="002B421D" w:rsidRDefault="002B421D" w:rsidP="00D63579">
    <w:pPr>
      <w:pStyle w:val="Footer"/>
    </w:pPr>
    <w:bookmarkStart w:id="15" w:name="TITUS1FooterEvenPages"/>
    <w:r w:rsidRPr="00BD681D">
      <w:rPr>
        <w:color w:val="000000"/>
        <w:sz w:val="2"/>
      </w:rPr>
      <w:t> </w:t>
    </w:r>
    <w:bookmarkEnd w:id="15"/>
  </w:p>
  <w:p w14:paraId="6F51A0E2" w14:textId="77777777" w:rsidR="002B421D" w:rsidRDefault="002B421D" w:rsidP="00D63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B1E15" w14:textId="324FD998" w:rsidR="002B421D" w:rsidRDefault="002B421D" w:rsidP="00D63579">
    <w:pPr>
      <w:pStyle w:val="Footer"/>
    </w:pPr>
    <w:bookmarkStart w:id="16" w:name="TITUS1FooterPrimary"/>
    <w:r w:rsidRPr="00BD681D">
      <w:rPr>
        <w:color w:val="000000"/>
        <w:sz w:val="2"/>
      </w:rPr>
      <w:t> </w:t>
    </w:r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931C0" w14:textId="77777777" w:rsidR="002B421D" w:rsidRDefault="002B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03265" w14:textId="77777777" w:rsidR="008F4ABF" w:rsidRDefault="008F4ABF" w:rsidP="002B421D">
      <w:pPr>
        <w:spacing w:after="0" w:line="240" w:lineRule="auto"/>
      </w:pPr>
      <w:r>
        <w:separator/>
      </w:r>
    </w:p>
  </w:footnote>
  <w:footnote w:type="continuationSeparator" w:id="0">
    <w:p w14:paraId="628E2778" w14:textId="77777777" w:rsidR="008F4ABF" w:rsidRDefault="008F4ABF" w:rsidP="002B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91184" w14:textId="2987154E" w:rsidR="002B421D" w:rsidRDefault="002B421D" w:rsidP="00D63579">
    <w:pPr>
      <w:pStyle w:val="Header"/>
    </w:pPr>
    <w:bookmarkStart w:id="13" w:name="TITUS1HeaderEvenPages"/>
    <w:r w:rsidRPr="00BD681D">
      <w:rPr>
        <w:color w:val="000000"/>
        <w:sz w:val="2"/>
      </w:rPr>
      <w:t> </w:t>
    </w:r>
    <w:bookmarkEnd w:id="13"/>
  </w:p>
  <w:p w14:paraId="17986A66" w14:textId="77777777" w:rsidR="002B421D" w:rsidRDefault="002B421D" w:rsidP="00D63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7269" w14:textId="1DBD3F7B" w:rsidR="002B421D" w:rsidRDefault="002B421D" w:rsidP="00D63579">
    <w:pPr>
      <w:pStyle w:val="Header"/>
    </w:pPr>
    <w:bookmarkStart w:id="14" w:name="TITUS1HeaderPrimary"/>
    <w:r w:rsidRPr="00BD681D">
      <w:rPr>
        <w:color w:val="000000"/>
        <w:sz w:val="2"/>
      </w:rPr>
      <w:t> </w:t>
    </w:r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5281" w14:textId="77777777" w:rsidR="002B421D" w:rsidRDefault="002B4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40A77"/>
    <w:multiLevelType w:val="hybridMultilevel"/>
    <w:tmpl w:val="9826768E"/>
    <w:lvl w:ilvl="0" w:tplc="7E0AB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FB098B"/>
    <w:multiLevelType w:val="hybridMultilevel"/>
    <w:tmpl w:val="CA16272A"/>
    <w:lvl w:ilvl="0" w:tplc="1CAA18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508B"/>
    <w:multiLevelType w:val="hybridMultilevel"/>
    <w:tmpl w:val="B75CD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7372"/>
    <w:multiLevelType w:val="hybridMultilevel"/>
    <w:tmpl w:val="FFCCB954"/>
    <w:lvl w:ilvl="0" w:tplc="D186BF64">
      <w:start w:val="1"/>
      <w:numFmt w:val="decimal"/>
      <w:lvlText w:val="%1)"/>
      <w:lvlJc w:val="left"/>
      <w:pPr>
        <w:ind w:left="341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4134" w:hanging="360"/>
      </w:pPr>
    </w:lvl>
    <w:lvl w:ilvl="2" w:tplc="0818001B" w:tentative="1">
      <w:start w:val="1"/>
      <w:numFmt w:val="lowerRoman"/>
      <w:lvlText w:val="%3."/>
      <w:lvlJc w:val="right"/>
      <w:pPr>
        <w:ind w:left="4854" w:hanging="180"/>
      </w:pPr>
    </w:lvl>
    <w:lvl w:ilvl="3" w:tplc="0818000F" w:tentative="1">
      <w:start w:val="1"/>
      <w:numFmt w:val="decimal"/>
      <w:lvlText w:val="%4."/>
      <w:lvlJc w:val="left"/>
      <w:pPr>
        <w:ind w:left="5574" w:hanging="360"/>
      </w:pPr>
    </w:lvl>
    <w:lvl w:ilvl="4" w:tplc="08180019" w:tentative="1">
      <w:start w:val="1"/>
      <w:numFmt w:val="lowerLetter"/>
      <w:lvlText w:val="%5."/>
      <w:lvlJc w:val="left"/>
      <w:pPr>
        <w:ind w:left="6294" w:hanging="360"/>
      </w:pPr>
    </w:lvl>
    <w:lvl w:ilvl="5" w:tplc="0818001B" w:tentative="1">
      <w:start w:val="1"/>
      <w:numFmt w:val="lowerRoman"/>
      <w:lvlText w:val="%6."/>
      <w:lvlJc w:val="right"/>
      <w:pPr>
        <w:ind w:left="7014" w:hanging="180"/>
      </w:pPr>
    </w:lvl>
    <w:lvl w:ilvl="6" w:tplc="0818000F" w:tentative="1">
      <w:start w:val="1"/>
      <w:numFmt w:val="decimal"/>
      <w:lvlText w:val="%7."/>
      <w:lvlJc w:val="left"/>
      <w:pPr>
        <w:ind w:left="7734" w:hanging="360"/>
      </w:pPr>
    </w:lvl>
    <w:lvl w:ilvl="7" w:tplc="08180019" w:tentative="1">
      <w:start w:val="1"/>
      <w:numFmt w:val="lowerLetter"/>
      <w:lvlText w:val="%8."/>
      <w:lvlJc w:val="left"/>
      <w:pPr>
        <w:ind w:left="8454" w:hanging="360"/>
      </w:pPr>
    </w:lvl>
    <w:lvl w:ilvl="8" w:tplc="0818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2F3377C9"/>
    <w:multiLevelType w:val="hybridMultilevel"/>
    <w:tmpl w:val="CB8E9B9E"/>
    <w:lvl w:ilvl="0" w:tplc="8904DF28">
      <w:start w:val="1"/>
      <w:numFmt w:val="decimal"/>
      <w:lvlText w:val="%1)"/>
      <w:lvlJc w:val="left"/>
      <w:pPr>
        <w:ind w:left="927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049B0"/>
    <w:multiLevelType w:val="hybridMultilevel"/>
    <w:tmpl w:val="07D4916C"/>
    <w:lvl w:ilvl="0" w:tplc="26C499E4">
      <w:start w:val="4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0F8"/>
    <w:multiLevelType w:val="hybridMultilevel"/>
    <w:tmpl w:val="57941F8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3F2E"/>
    <w:multiLevelType w:val="hybridMultilevel"/>
    <w:tmpl w:val="342A8F68"/>
    <w:lvl w:ilvl="0" w:tplc="50B6B3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4755B2"/>
    <w:multiLevelType w:val="hybridMultilevel"/>
    <w:tmpl w:val="66E4BBF2"/>
    <w:lvl w:ilvl="0" w:tplc="B0AE73EA">
      <w:start w:val="1"/>
      <w:numFmt w:val="decimal"/>
      <w:lvlText w:val="%1)"/>
      <w:lvlJc w:val="left"/>
      <w:pPr>
        <w:ind w:left="720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F10A3"/>
    <w:multiLevelType w:val="hybridMultilevel"/>
    <w:tmpl w:val="8BDE6D0A"/>
    <w:lvl w:ilvl="0" w:tplc="FBACA5F4">
      <w:start w:val="1"/>
      <w:numFmt w:val="decimal"/>
      <w:lvlText w:val="%1."/>
      <w:lvlJc w:val="left"/>
      <w:pPr>
        <w:ind w:left="3054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12CEF"/>
    <w:multiLevelType w:val="hybridMultilevel"/>
    <w:tmpl w:val="0B18D5E6"/>
    <w:lvl w:ilvl="0" w:tplc="CB2842C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070407"/>
    <w:multiLevelType w:val="hybridMultilevel"/>
    <w:tmpl w:val="AD0C3E4A"/>
    <w:lvl w:ilvl="0" w:tplc="234C92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279088">
    <w:abstractNumId w:val="2"/>
  </w:num>
  <w:num w:numId="2" w16cid:durableId="601298212">
    <w:abstractNumId w:val="10"/>
  </w:num>
  <w:num w:numId="3" w16cid:durableId="741489849">
    <w:abstractNumId w:val="3"/>
  </w:num>
  <w:num w:numId="4" w16cid:durableId="1733431884">
    <w:abstractNumId w:val="6"/>
  </w:num>
  <w:num w:numId="5" w16cid:durableId="923297477">
    <w:abstractNumId w:val="7"/>
  </w:num>
  <w:num w:numId="6" w16cid:durableId="1969357629">
    <w:abstractNumId w:val="5"/>
  </w:num>
  <w:num w:numId="7" w16cid:durableId="1079136938">
    <w:abstractNumId w:val="11"/>
  </w:num>
  <w:num w:numId="8" w16cid:durableId="988636437">
    <w:abstractNumId w:val="4"/>
  </w:num>
  <w:num w:numId="9" w16cid:durableId="270405801">
    <w:abstractNumId w:val="12"/>
  </w:num>
  <w:num w:numId="10" w16cid:durableId="394667157">
    <w:abstractNumId w:val="0"/>
  </w:num>
  <w:num w:numId="11" w16cid:durableId="296839861">
    <w:abstractNumId w:val="9"/>
  </w:num>
  <w:num w:numId="12" w16cid:durableId="1834449440">
    <w:abstractNumId w:val="8"/>
  </w:num>
  <w:num w:numId="13" w16cid:durableId="167831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7B"/>
    <w:rsid w:val="0000257B"/>
    <w:rsid w:val="000072B8"/>
    <w:rsid w:val="0001372B"/>
    <w:rsid w:val="00022FE5"/>
    <w:rsid w:val="00044957"/>
    <w:rsid w:val="00051ED0"/>
    <w:rsid w:val="00054ACC"/>
    <w:rsid w:val="00055630"/>
    <w:rsid w:val="0007020B"/>
    <w:rsid w:val="0007467C"/>
    <w:rsid w:val="00080178"/>
    <w:rsid w:val="00081285"/>
    <w:rsid w:val="000A014F"/>
    <w:rsid w:val="000A4979"/>
    <w:rsid w:val="000B05CF"/>
    <w:rsid w:val="000B749B"/>
    <w:rsid w:val="000B76F7"/>
    <w:rsid w:val="000E09B5"/>
    <w:rsid w:val="000E0C43"/>
    <w:rsid w:val="000E50E5"/>
    <w:rsid w:val="000F20EA"/>
    <w:rsid w:val="000F4084"/>
    <w:rsid w:val="001017D7"/>
    <w:rsid w:val="001040D6"/>
    <w:rsid w:val="001049A8"/>
    <w:rsid w:val="00106ADA"/>
    <w:rsid w:val="00116002"/>
    <w:rsid w:val="001249FF"/>
    <w:rsid w:val="00132952"/>
    <w:rsid w:val="00133955"/>
    <w:rsid w:val="00143A67"/>
    <w:rsid w:val="0015142B"/>
    <w:rsid w:val="001516DF"/>
    <w:rsid w:val="001534DB"/>
    <w:rsid w:val="0015658F"/>
    <w:rsid w:val="0015777E"/>
    <w:rsid w:val="00157912"/>
    <w:rsid w:val="00160854"/>
    <w:rsid w:val="00163A49"/>
    <w:rsid w:val="00165D14"/>
    <w:rsid w:val="00171FDF"/>
    <w:rsid w:val="0017288C"/>
    <w:rsid w:val="00173EAB"/>
    <w:rsid w:val="00192927"/>
    <w:rsid w:val="001D14FA"/>
    <w:rsid w:val="001D4531"/>
    <w:rsid w:val="001D5977"/>
    <w:rsid w:val="001E1B64"/>
    <w:rsid w:val="001F4429"/>
    <w:rsid w:val="002045D6"/>
    <w:rsid w:val="00210452"/>
    <w:rsid w:val="0022570E"/>
    <w:rsid w:val="00227DD9"/>
    <w:rsid w:val="00235E68"/>
    <w:rsid w:val="00237530"/>
    <w:rsid w:val="00241E5D"/>
    <w:rsid w:val="00263739"/>
    <w:rsid w:val="002702F6"/>
    <w:rsid w:val="002801F0"/>
    <w:rsid w:val="00290778"/>
    <w:rsid w:val="00296EC8"/>
    <w:rsid w:val="002A290A"/>
    <w:rsid w:val="002A2CBE"/>
    <w:rsid w:val="002B421D"/>
    <w:rsid w:val="002C41D2"/>
    <w:rsid w:val="002C46CA"/>
    <w:rsid w:val="002D4EFC"/>
    <w:rsid w:val="002D724F"/>
    <w:rsid w:val="002E093D"/>
    <w:rsid w:val="002E4F35"/>
    <w:rsid w:val="002F0612"/>
    <w:rsid w:val="002F2D5C"/>
    <w:rsid w:val="002F5C45"/>
    <w:rsid w:val="002F73BD"/>
    <w:rsid w:val="00300D72"/>
    <w:rsid w:val="0030703C"/>
    <w:rsid w:val="00307776"/>
    <w:rsid w:val="00307BB7"/>
    <w:rsid w:val="003168FF"/>
    <w:rsid w:val="0031751B"/>
    <w:rsid w:val="00317838"/>
    <w:rsid w:val="00323737"/>
    <w:rsid w:val="00327B28"/>
    <w:rsid w:val="00327C7F"/>
    <w:rsid w:val="00335487"/>
    <w:rsid w:val="00335F2B"/>
    <w:rsid w:val="00337E14"/>
    <w:rsid w:val="0034250B"/>
    <w:rsid w:val="00344C44"/>
    <w:rsid w:val="00345592"/>
    <w:rsid w:val="00345C16"/>
    <w:rsid w:val="0034751A"/>
    <w:rsid w:val="003503DB"/>
    <w:rsid w:val="00355975"/>
    <w:rsid w:val="00356E75"/>
    <w:rsid w:val="00362007"/>
    <w:rsid w:val="00385157"/>
    <w:rsid w:val="003C56C2"/>
    <w:rsid w:val="003C5D6E"/>
    <w:rsid w:val="003D4ADA"/>
    <w:rsid w:val="003D6332"/>
    <w:rsid w:val="003F45AA"/>
    <w:rsid w:val="003F48C4"/>
    <w:rsid w:val="004023E8"/>
    <w:rsid w:val="004114A5"/>
    <w:rsid w:val="00413D34"/>
    <w:rsid w:val="00413D76"/>
    <w:rsid w:val="004200D3"/>
    <w:rsid w:val="00424B0D"/>
    <w:rsid w:val="00424F75"/>
    <w:rsid w:val="004345AB"/>
    <w:rsid w:val="004345B4"/>
    <w:rsid w:val="00436D28"/>
    <w:rsid w:val="00437736"/>
    <w:rsid w:val="00447DF8"/>
    <w:rsid w:val="00465124"/>
    <w:rsid w:val="00473E2A"/>
    <w:rsid w:val="00474676"/>
    <w:rsid w:val="00483FF6"/>
    <w:rsid w:val="00485426"/>
    <w:rsid w:val="00492E66"/>
    <w:rsid w:val="004A1FA2"/>
    <w:rsid w:val="004A291C"/>
    <w:rsid w:val="004B7893"/>
    <w:rsid w:val="004C6A55"/>
    <w:rsid w:val="004D026A"/>
    <w:rsid w:val="004D26A1"/>
    <w:rsid w:val="004D318A"/>
    <w:rsid w:val="004D4688"/>
    <w:rsid w:val="004D5FC3"/>
    <w:rsid w:val="004D6927"/>
    <w:rsid w:val="004D6973"/>
    <w:rsid w:val="004E0748"/>
    <w:rsid w:val="004E2297"/>
    <w:rsid w:val="00502761"/>
    <w:rsid w:val="0050357B"/>
    <w:rsid w:val="00506DC0"/>
    <w:rsid w:val="00507F81"/>
    <w:rsid w:val="00523A7B"/>
    <w:rsid w:val="00524FDD"/>
    <w:rsid w:val="00526493"/>
    <w:rsid w:val="00527656"/>
    <w:rsid w:val="00534A51"/>
    <w:rsid w:val="00534AE0"/>
    <w:rsid w:val="005418DB"/>
    <w:rsid w:val="005503DC"/>
    <w:rsid w:val="0055588D"/>
    <w:rsid w:val="0055736A"/>
    <w:rsid w:val="0056101A"/>
    <w:rsid w:val="0057193F"/>
    <w:rsid w:val="00572F0F"/>
    <w:rsid w:val="00577219"/>
    <w:rsid w:val="00580BDE"/>
    <w:rsid w:val="005848B9"/>
    <w:rsid w:val="00587E72"/>
    <w:rsid w:val="00592081"/>
    <w:rsid w:val="005A0762"/>
    <w:rsid w:val="005A26D3"/>
    <w:rsid w:val="005A66A1"/>
    <w:rsid w:val="005A7FFC"/>
    <w:rsid w:val="005C12AC"/>
    <w:rsid w:val="005C57FD"/>
    <w:rsid w:val="005D0026"/>
    <w:rsid w:val="005D00FD"/>
    <w:rsid w:val="005D343C"/>
    <w:rsid w:val="005D4781"/>
    <w:rsid w:val="005E1B14"/>
    <w:rsid w:val="005E4257"/>
    <w:rsid w:val="005F02DD"/>
    <w:rsid w:val="005F3B7F"/>
    <w:rsid w:val="00600A1C"/>
    <w:rsid w:val="00604106"/>
    <w:rsid w:val="006068E7"/>
    <w:rsid w:val="0061305A"/>
    <w:rsid w:val="00616968"/>
    <w:rsid w:val="00617E5E"/>
    <w:rsid w:val="00620EEA"/>
    <w:rsid w:val="00627EC4"/>
    <w:rsid w:val="00634513"/>
    <w:rsid w:val="006401F9"/>
    <w:rsid w:val="006423CC"/>
    <w:rsid w:val="00644C52"/>
    <w:rsid w:val="006453CA"/>
    <w:rsid w:val="00652AC8"/>
    <w:rsid w:val="006545B1"/>
    <w:rsid w:val="00656BAE"/>
    <w:rsid w:val="00656CA5"/>
    <w:rsid w:val="006574E6"/>
    <w:rsid w:val="006609E1"/>
    <w:rsid w:val="00666F5C"/>
    <w:rsid w:val="00672A3B"/>
    <w:rsid w:val="0068266D"/>
    <w:rsid w:val="00685A23"/>
    <w:rsid w:val="0068693D"/>
    <w:rsid w:val="00686949"/>
    <w:rsid w:val="00687B6A"/>
    <w:rsid w:val="006922E2"/>
    <w:rsid w:val="00695F64"/>
    <w:rsid w:val="006A4FC1"/>
    <w:rsid w:val="006A55E2"/>
    <w:rsid w:val="006D3D48"/>
    <w:rsid w:val="006E117C"/>
    <w:rsid w:val="006E5872"/>
    <w:rsid w:val="006F13A2"/>
    <w:rsid w:val="00701CF3"/>
    <w:rsid w:val="00707BB9"/>
    <w:rsid w:val="00707C75"/>
    <w:rsid w:val="00717889"/>
    <w:rsid w:val="0072161E"/>
    <w:rsid w:val="00722590"/>
    <w:rsid w:val="007260E5"/>
    <w:rsid w:val="007277D2"/>
    <w:rsid w:val="00731DD3"/>
    <w:rsid w:val="00736BE2"/>
    <w:rsid w:val="0073732F"/>
    <w:rsid w:val="00737C8A"/>
    <w:rsid w:val="007571BE"/>
    <w:rsid w:val="00762090"/>
    <w:rsid w:val="00770F75"/>
    <w:rsid w:val="00775D7B"/>
    <w:rsid w:val="007766AE"/>
    <w:rsid w:val="00780FF4"/>
    <w:rsid w:val="00781386"/>
    <w:rsid w:val="00781563"/>
    <w:rsid w:val="00787B08"/>
    <w:rsid w:val="00796987"/>
    <w:rsid w:val="007B21FF"/>
    <w:rsid w:val="007B2425"/>
    <w:rsid w:val="007B2967"/>
    <w:rsid w:val="007B6DD1"/>
    <w:rsid w:val="007C2095"/>
    <w:rsid w:val="007D0FF1"/>
    <w:rsid w:val="007D4B46"/>
    <w:rsid w:val="007E61F3"/>
    <w:rsid w:val="007E741C"/>
    <w:rsid w:val="0080208A"/>
    <w:rsid w:val="008036D4"/>
    <w:rsid w:val="008052EC"/>
    <w:rsid w:val="00817397"/>
    <w:rsid w:val="008247E1"/>
    <w:rsid w:val="00831993"/>
    <w:rsid w:val="008329E1"/>
    <w:rsid w:val="00836A72"/>
    <w:rsid w:val="00837FF3"/>
    <w:rsid w:val="00843045"/>
    <w:rsid w:val="0084799C"/>
    <w:rsid w:val="008537C0"/>
    <w:rsid w:val="008618DF"/>
    <w:rsid w:val="00864A3A"/>
    <w:rsid w:val="00865042"/>
    <w:rsid w:val="00867F85"/>
    <w:rsid w:val="00870B7A"/>
    <w:rsid w:val="0087190C"/>
    <w:rsid w:val="00874A54"/>
    <w:rsid w:val="00875667"/>
    <w:rsid w:val="008777F8"/>
    <w:rsid w:val="00894E30"/>
    <w:rsid w:val="008A7A8D"/>
    <w:rsid w:val="008B22E1"/>
    <w:rsid w:val="008B273B"/>
    <w:rsid w:val="008B7F02"/>
    <w:rsid w:val="008C0AB4"/>
    <w:rsid w:val="008D265D"/>
    <w:rsid w:val="008D55E9"/>
    <w:rsid w:val="008D7369"/>
    <w:rsid w:val="008E5088"/>
    <w:rsid w:val="008E7C74"/>
    <w:rsid w:val="008F0C50"/>
    <w:rsid w:val="008F1149"/>
    <w:rsid w:val="008F4ABF"/>
    <w:rsid w:val="00901075"/>
    <w:rsid w:val="00902724"/>
    <w:rsid w:val="00905042"/>
    <w:rsid w:val="0090640F"/>
    <w:rsid w:val="00906956"/>
    <w:rsid w:val="00914722"/>
    <w:rsid w:val="0093115F"/>
    <w:rsid w:val="00936373"/>
    <w:rsid w:val="0093678A"/>
    <w:rsid w:val="00936B82"/>
    <w:rsid w:val="009403A9"/>
    <w:rsid w:val="0094630A"/>
    <w:rsid w:val="009557DE"/>
    <w:rsid w:val="00963180"/>
    <w:rsid w:val="00976C8D"/>
    <w:rsid w:val="009806D2"/>
    <w:rsid w:val="009A0FB5"/>
    <w:rsid w:val="009A2EA9"/>
    <w:rsid w:val="009C4E2C"/>
    <w:rsid w:val="009F0494"/>
    <w:rsid w:val="009F6BC6"/>
    <w:rsid w:val="00A02623"/>
    <w:rsid w:val="00A06728"/>
    <w:rsid w:val="00A2002B"/>
    <w:rsid w:val="00A2243F"/>
    <w:rsid w:val="00A2258B"/>
    <w:rsid w:val="00A22C0E"/>
    <w:rsid w:val="00A23939"/>
    <w:rsid w:val="00A335E2"/>
    <w:rsid w:val="00A35BD4"/>
    <w:rsid w:val="00A36D71"/>
    <w:rsid w:val="00A54C05"/>
    <w:rsid w:val="00A56B13"/>
    <w:rsid w:val="00A6027A"/>
    <w:rsid w:val="00A60391"/>
    <w:rsid w:val="00A60B2C"/>
    <w:rsid w:val="00A70E32"/>
    <w:rsid w:val="00A8172D"/>
    <w:rsid w:val="00A83AD7"/>
    <w:rsid w:val="00A8412C"/>
    <w:rsid w:val="00A8462D"/>
    <w:rsid w:val="00A85726"/>
    <w:rsid w:val="00A90087"/>
    <w:rsid w:val="00A94993"/>
    <w:rsid w:val="00A978A7"/>
    <w:rsid w:val="00AA49C1"/>
    <w:rsid w:val="00AB3D81"/>
    <w:rsid w:val="00AD5E91"/>
    <w:rsid w:val="00AD6CF4"/>
    <w:rsid w:val="00AE3E61"/>
    <w:rsid w:val="00AE7818"/>
    <w:rsid w:val="00AF21BC"/>
    <w:rsid w:val="00AF3F9A"/>
    <w:rsid w:val="00AF67A4"/>
    <w:rsid w:val="00AF7A18"/>
    <w:rsid w:val="00B00AF6"/>
    <w:rsid w:val="00B012A2"/>
    <w:rsid w:val="00B01FEA"/>
    <w:rsid w:val="00B028E1"/>
    <w:rsid w:val="00B03322"/>
    <w:rsid w:val="00B05BDE"/>
    <w:rsid w:val="00B14128"/>
    <w:rsid w:val="00B2106B"/>
    <w:rsid w:val="00B32F85"/>
    <w:rsid w:val="00B370A9"/>
    <w:rsid w:val="00B42580"/>
    <w:rsid w:val="00B54FA8"/>
    <w:rsid w:val="00B56D8C"/>
    <w:rsid w:val="00B67008"/>
    <w:rsid w:val="00B71F17"/>
    <w:rsid w:val="00B71F89"/>
    <w:rsid w:val="00B7295F"/>
    <w:rsid w:val="00B72B80"/>
    <w:rsid w:val="00B771A4"/>
    <w:rsid w:val="00B77B41"/>
    <w:rsid w:val="00B961D5"/>
    <w:rsid w:val="00BA0885"/>
    <w:rsid w:val="00BA722E"/>
    <w:rsid w:val="00BB029B"/>
    <w:rsid w:val="00BB5250"/>
    <w:rsid w:val="00BC7A62"/>
    <w:rsid w:val="00BD370D"/>
    <w:rsid w:val="00BD53BA"/>
    <w:rsid w:val="00BD681D"/>
    <w:rsid w:val="00BE17C3"/>
    <w:rsid w:val="00BE213C"/>
    <w:rsid w:val="00BE2E0B"/>
    <w:rsid w:val="00BE403A"/>
    <w:rsid w:val="00BF1803"/>
    <w:rsid w:val="00BF78D6"/>
    <w:rsid w:val="00C03EBF"/>
    <w:rsid w:val="00C0525D"/>
    <w:rsid w:val="00C1611A"/>
    <w:rsid w:val="00C341AB"/>
    <w:rsid w:val="00C41122"/>
    <w:rsid w:val="00C41859"/>
    <w:rsid w:val="00C4418B"/>
    <w:rsid w:val="00C44436"/>
    <w:rsid w:val="00C444B9"/>
    <w:rsid w:val="00C45A79"/>
    <w:rsid w:val="00C64AA9"/>
    <w:rsid w:val="00C812AF"/>
    <w:rsid w:val="00C945F9"/>
    <w:rsid w:val="00C94724"/>
    <w:rsid w:val="00CA1274"/>
    <w:rsid w:val="00CA3195"/>
    <w:rsid w:val="00CB7340"/>
    <w:rsid w:val="00CB75B6"/>
    <w:rsid w:val="00CC0A2E"/>
    <w:rsid w:val="00CD3762"/>
    <w:rsid w:val="00CD53EB"/>
    <w:rsid w:val="00CD6885"/>
    <w:rsid w:val="00CE42B6"/>
    <w:rsid w:val="00CF04C4"/>
    <w:rsid w:val="00CF332E"/>
    <w:rsid w:val="00D00A6B"/>
    <w:rsid w:val="00D04817"/>
    <w:rsid w:val="00D34132"/>
    <w:rsid w:val="00D37CFD"/>
    <w:rsid w:val="00D40316"/>
    <w:rsid w:val="00D40C89"/>
    <w:rsid w:val="00D415AD"/>
    <w:rsid w:val="00D4315B"/>
    <w:rsid w:val="00D450B1"/>
    <w:rsid w:val="00D538AA"/>
    <w:rsid w:val="00D5470E"/>
    <w:rsid w:val="00D55B1C"/>
    <w:rsid w:val="00D5738B"/>
    <w:rsid w:val="00D57545"/>
    <w:rsid w:val="00D57AEA"/>
    <w:rsid w:val="00D60285"/>
    <w:rsid w:val="00D63579"/>
    <w:rsid w:val="00D6780E"/>
    <w:rsid w:val="00D739F3"/>
    <w:rsid w:val="00D772F9"/>
    <w:rsid w:val="00D80675"/>
    <w:rsid w:val="00D83C6D"/>
    <w:rsid w:val="00D854F7"/>
    <w:rsid w:val="00D908D9"/>
    <w:rsid w:val="00D911C0"/>
    <w:rsid w:val="00D91766"/>
    <w:rsid w:val="00D95258"/>
    <w:rsid w:val="00D97D70"/>
    <w:rsid w:val="00DB7456"/>
    <w:rsid w:val="00DC6C56"/>
    <w:rsid w:val="00DD1C87"/>
    <w:rsid w:val="00DD388C"/>
    <w:rsid w:val="00DD60D5"/>
    <w:rsid w:val="00DE11A0"/>
    <w:rsid w:val="00DE54DF"/>
    <w:rsid w:val="00DE5B4B"/>
    <w:rsid w:val="00DE7A96"/>
    <w:rsid w:val="00DF43E1"/>
    <w:rsid w:val="00E12A05"/>
    <w:rsid w:val="00E16C81"/>
    <w:rsid w:val="00E24A15"/>
    <w:rsid w:val="00E27C76"/>
    <w:rsid w:val="00E30D6B"/>
    <w:rsid w:val="00E31C2F"/>
    <w:rsid w:val="00E32D99"/>
    <w:rsid w:val="00E333F7"/>
    <w:rsid w:val="00E44F5F"/>
    <w:rsid w:val="00E504CB"/>
    <w:rsid w:val="00E5594E"/>
    <w:rsid w:val="00E56770"/>
    <w:rsid w:val="00E701C5"/>
    <w:rsid w:val="00E7733A"/>
    <w:rsid w:val="00E82F4D"/>
    <w:rsid w:val="00E86C19"/>
    <w:rsid w:val="00E96C54"/>
    <w:rsid w:val="00E96D64"/>
    <w:rsid w:val="00EB1621"/>
    <w:rsid w:val="00ED6A4A"/>
    <w:rsid w:val="00EE0781"/>
    <w:rsid w:val="00EE15CE"/>
    <w:rsid w:val="00EE22CF"/>
    <w:rsid w:val="00EE2B67"/>
    <w:rsid w:val="00F013B2"/>
    <w:rsid w:val="00F02FA2"/>
    <w:rsid w:val="00F05F21"/>
    <w:rsid w:val="00F0741B"/>
    <w:rsid w:val="00F126F6"/>
    <w:rsid w:val="00F13CB6"/>
    <w:rsid w:val="00F31200"/>
    <w:rsid w:val="00F34BD4"/>
    <w:rsid w:val="00F44541"/>
    <w:rsid w:val="00F45E44"/>
    <w:rsid w:val="00F54325"/>
    <w:rsid w:val="00F6485A"/>
    <w:rsid w:val="00F6654F"/>
    <w:rsid w:val="00F70ECE"/>
    <w:rsid w:val="00F71AA8"/>
    <w:rsid w:val="00F745C2"/>
    <w:rsid w:val="00F75477"/>
    <w:rsid w:val="00F80839"/>
    <w:rsid w:val="00F846C1"/>
    <w:rsid w:val="00F94633"/>
    <w:rsid w:val="00F975A5"/>
    <w:rsid w:val="00FA04C4"/>
    <w:rsid w:val="00FA1E9B"/>
    <w:rsid w:val="00FA5E3B"/>
    <w:rsid w:val="00FB473A"/>
    <w:rsid w:val="00FD2366"/>
    <w:rsid w:val="00FD495A"/>
    <w:rsid w:val="00FD5260"/>
    <w:rsid w:val="00FD5461"/>
    <w:rsid w:val="00FD6235"/>
    <w:rsid w:val="00FE23AB"/>
    <w:rsid w:val="00FE724E"/>
    <w:rsid w:val="00FF53ED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3EC4"/>
  <w15:chartTrackingRefBased/>
  <w15:docId w15:val="{E8E7C740-C028-4612-BD44-C7AC2A3A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E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4AE0"/>
    <w:rPr>
      <w:b/>
      <w:bCs/>
    </w:rPr>
  </w:style>
  <w:style w:type="character" w:customStyle="1" w:styleId="docheader">
    <w:name w:val="doc_header"/>
    <w:basedOn w:val="DefaultParagraphFont"/>
    <w:rsid w:val="00534AE0"/>
  </w:style>
  <w:style w:type="paragraph" w:styleId="NormalWeb">
    <w:name w:val="Normal (Web)"/>
    <w:basedOn w:val="Normal"/>
    <w:uiPriority w:val="99"/>
    <w:unhideWhenUsed/>
    <w:rsid w:val="0053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4AE0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1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1D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99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93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2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2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0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ailto:reglementare.psp@bnm.md" TargetMode="External" Type="http://schemas.openxmlformats.org/officeDocument/2006/relationships/hyperlink"/><Relationship Id="rId11" Target="mailto:reglementare.psp@bnm.md" TargetMode="External" Type="http://schemas.openxmlformats.org/officeDocument/2006/relationships/hyperlink"/><Relationship Id="rId12" Target="mailto:reglementare.psp@bnm.md" TargetMode="External" Type="http://schemas.openxmlformats.org/officeDocument/2006/relationships/hyperlink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3.xml" Type="http://schemas.openxmlformats.org/officeDocument/2006/relationships/header"/><Relationship Id="rId18" Target="footer3.xml" Type="http://schemas.openxmlformats.org/officeDocument/2006/relationships/footer"/><Relationship Id="rId19" Target="fontTable.xml" Type="http://schemas.openxmlformats.org/officeDocument/2006/relationships/fontTable"/><Relationship Id="rId2" Target="../customXml/item2.xml" Type="http://schemas.openxmlformats.org/officeDocument/2006/relationships/customXml"/><Relationship Id="rId20" Target="theme/theme1.xml" Type="http://schemas.openxmlformats.org/officeDocument/2006/relationships/theme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97d8eb89-6996-4572-9a04-84af80f3e15e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2B6BC6FC-A47F-4E9C-8793-C86E9F07B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89918-BA48-41AC-B199-C646DDFB8C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1952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2024-06-21T07:59:00Z</dcterms:created>
  <cp:lastPrinted>2024-06-12T14:02:00Z</cp:lastPrinted>
  <dcterms:modified xsi:type="dcterms:W3CDTF">2024-07-22T08:56:00Z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97d8eb89-6996-4572-9a04-84af80f3e15e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